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60AC" w14:textId="77777777" w:rsidR="007C3F02" w:rsidRPr="005222F5" w:rsidRDefault="007C3F02" w:rsidP="007C3F02">
      <w:pPr>
        <w:rPr>
          <w:rFonts w:asciiTheme="majorHAnsi" w:hAnsiTheme="majorHAnsi"/>
        </w:rPr>
      </w:pPr>
    </w:p>
    <w:p w14:paraId="55F57FDF" w14:textId="77777777" w:rsidR="007C3F02" w:rsidRPr="005222F5" w:rsidRDefault="007C3F02" w:rsidP="007C3F02">
      <w:pPr>
        <w:pBdr>
          <w:top w:val="nil"/>
          <w:left w:val="nil"/>
          <w:bottom w:val="nil"/>
          <w:right w:val="nil"/>
          <w:between w:val="nil"/>
        </w:pBdr>
        <w:spacing w:after="0" w:line="240" w:lineRule="auto"/>
        <w:ind w:right="86"/>
        <w:rPr>
          <w:rFonts w:asciiTheme="majorHAnsi" w:eastAsia="Calibri" w:hAnsiTheme="majorHAnsi" w:cs="Calibri"/>
          <w:color w:val="000000"/>
          <w:sz w:val="24"/>
          <w:szCs w:val="24"/>
        </w:rPr>
      </w:pPr>
    </w:p>
    <w:p w14:paraId="4637829A" w14:textId="77777777" w:rsidR="007C3F02" w:rsidRDefault="007C3F02" w:rsidP="007C3F02">
      <w:pPr>
        <w:pStyle w:val="Heading1"/>
        <w:spacing w:before="0" w:after="0" w:line="240" w:lineRule="auto"/>
        <w:jc w:val="left"/>
        <w:rPr>
          <w:rFonts w:asciiTheme="majorHAnsi" w:hAnsiTheme="majorHAnsi"/>
        </w:rPr>
      </w:pPr>
      <w:r w:rsidRPr="005222F5">
        <w:rPr>
          <w:rFonts w:asciiTheme="majorHAnsi" w:eastAsia="Calibri" w:hAnsiTheme="majorHAnsi" w:cs="Calibri"/>
          <w:b/>
          <w:noProof/>
          <w:color w:val="C00000"/>
        </w:rPr>
        <w:drawing>
          <wp:inline distT="0" distB="0" distL="0" distR="0" wp14:anchorId="1DF6A0B8" wp14:editId="1980704A">
            <wp:extent cx="2156291" cy="412727"/>
            <wp:effectExtent l="0" t="0" r="0" b="0"/>
            <wp:docPr id="26" name="image7.png" descr="C:\Users\hbertran\Desktop\new PLNU logo.png"/>
            <wp:cNvGraphicFramePr/>
            <a:graphic xmlns:a="http://schemas.openxmlformats.org/drawingml/2006/main">
              <a:graphicData uri="http://schemas.openxmlformats.org/drawingml/2006/picture">
                <pic:pic xmlns:pic="http://schemas.openxmlformats.org/drawingml/2006/picture">
                  <pic:nvPicPr>
                    <pic:cNvPr id="0" name="image7.png" descr="C:\Users\hbertran\Desktop\new PLNU logo.png"/>
                    <pic:cNvPicPr preferRelativeResize="0"/>
                  </pic:nvPicPr>
                  <pic:blipFill>
                    <a:blip r:embed="rId4"/>
                    <a:srcRect/>
                    <a:stretch>
                      <a:fillRect/>
                    </a:stretch>
                  </pic:blipFill>
                  <pic:spPr>
                    <a:xfrm>
                      <a:off x="0" y="0"/>
                      <a:ext cx="2156291" cy="412727"/>
                    </a:xfrm>
                    <a:prstGeom prst="rect">
                      <a:avLst/>
                    </a:prstGeom>
                    <a:ln/>
                  </pic:spPr>
                </pic:pic>
              </a:graphicData>
            </a:graphic>
          </wp:inline>
        </w:drawing>
      </w:r>
      <w:r w:rsidRPr="005222F5">
        <w:rPr>
          <w:rFonts w:asciiTheme="majorHAnsi" w:hAnsiTheme="majorHAnsi"/>
        </w:rPr>
        <w:t xml:space="preserve">    </w:t>
      </w:r>
    </w:p>
    <w:p w14:paraId="5A9A19B2" w14:textId="77777777" w:rsidR="007C3F02" w:rsidRDefault="007C3F02" w:rsidP="007C3F02">
      <w:pPr>
        <w:pStyle w:val="Heading1"/>
        <w:spacing w:before="0" w:after="0" w:line="240" w:lineRule="auto"/>
        <w:rPr>
          <w:rFonts w:asciiTheme="majorHAnsi" w:hAnsiTheme="majorHAnsi"/>
        </w:rPr>
      </w:pPr>
    </w:p>
    <w:p w14:paraId="64D8B401" w14:textId="77777777" w:rsidR="007C3F02" w:rsidRPr="005222F5" w:rsidRDefault="007C3F02" w:rsidP="007C3F02">
      <w:pPr>
        <w:pStyle w:val="Heading1"/>
        <w:spacing w:before="0" w:after="0" w:line="240" w:lineRule="auto"/>
        <w:rPr>
          <w:rFonts w:asciiTheme="majorHAnsi" w:hAnsiTheme="majorHAnsi"/>
        </w:rPr>
      </w:pPr>
      <w:r w:rsidRPr="005222F5">
        <w:rPr>
          <w:rFonts w:asciiTheme="majorHAnsi" w:hAnsiTheme="majorHAnsi"/>
        </w:rPr>
        <w:t>moderate/Severe Education Specialist</w:t>
      </w:r>
    </w:p>
    <w:p w14:paraId="687E6B3E" w14:textId="77777777" w:rsidR="007C3F02" w:rsidRPr="005222F5" w:rsidRDefault="007C3F02" w:rsidP="007C3F02">
      <w:pPr>
        <w:pStyle w:val="Heading1"/>
        <w:spacing w:before="0" w:after="0" w:line="240" w:lineRule="auto"/>
        <w:rPr>
          <w:rFonts w:asciiTheme="majorHAnsi" w:hAnsiTheme="majorHAnsi"/>
        </w:rPr>
      </w:pPr>
      <w:r w:rsidRPr="005222F5">
        <w:rPr>
          <w:rFonts w:asciiTheme="majorHAnsi" w:hAnsiTheme="majorHAnsi"/>
        </w:rPr>
        <w:t xml:space="preserve"> Competency Assessment</w:t>
      </w:r>
    </w:p>
    <w:p w14:paraId="54E52468" w14:textId="77777777" w:rsidR="007C3F02" w:rsidRPr="005222F5" w:rsidRDefault="007C3F02" w:rsidP="007C3F02">
      <w:pPr>
        <w:spacing w:after="0" w:line="240" w:lineRule="auto"/>
        <w:rPr>
          <w:rFonts w:asciiTheme="majorHAnsi" w:eastAsia="Calibri" w:hAnsiTheme="majorHAnsi" w:cs="Calibri"/>
          <w:sz w:val="16"/>
          <w:szCs w:val="16"/>
        </w:rPr>
      </w:pPr>
    </w:p>
    <w:p w14:paraId="75B27F6C" w14:textId="77777777" w:rsidR="007C3F02" w:rsidRPr="005222F5" w:rsidRDefault="007C3F02" w:rsidP="007C3F02">
      <w:pPr>
        <w:spacing w:after="0" w:line="240" w:lineRule="auto"/>
        <w:rPr>
          <w:rFonts w:asciiTheme="majorHAnsi" w:eastAsia="Calibri" w:hAnsiTheme="majorHAnsi" w:cs="Calibri"/>
          <w:sz w:val="16"/>
          <w:szCs w:val="16"/>
        </w:rPr>
      </w:pPr>
    </w:p>
    <w:p w14:paraId="5BCF43AD" w14:textId="77777777" w:rsidR="007C3F02" w:rsidRDefault="007C3F02" w:rsidP="007C3F02">
      <w:pPr>
        <w:ind w:left="360"/>
        <w:rPr>
          <w:rFonts w:asciiTheme="majorHAnsi" w:eastAsia="Calibri" w:hAnsiTheme="majorHAnsi" w:cs="Calibri"/>
          <w:sz w:val="24"/>
          <w:szCs w:val="24"/>
        </w:rPr>
      </w:pPr>
      <w:r w:rsidRPr="005222F5">
        <w:rPr>
          <w:rFonts w:asciiTheme="majorHAnsi" w:eastAsia="Calibri" w:hAnsiTheme="majorHAnsi" w:cs="Calibri"/>
          <w:sz w:val="24"/>
          <w:szCs w:val="24"/>
        </w:rPr>
        <w:t xml:space="preserve">Teacher Candidate: </w:t>
      </w:r>
      <w:r w:rsidRPr="005222F5">
        <w:rPr>
          <w:rFonts w:asciiTheme="majorHAnsi" w:eastAsia="Calibri" w:hAnsiTheme="majorHAnsi" w:cs="Calibri"/>
          <w:sz w:val="24"/>
          <w:szCs w:val="24"/>
          <w:u w:val="single"/>
        </w:rPr>
        <w:t xml:space="preserve"> ______________________________</w:t>
      </w:r>
      <w:r w:rsidRPr="005222F5">
        <w:rPr>
          <w:rFonts w:asciiTheme="majorHAnsi" w:eastAsia="Calibri" w:hAnsiTheme="majorHAnsi" w:cs="Calibri"/>
          <w:sz w:val="24"/>
          <w:szCs w:val="24"/>
        </w:rPr>
        <w:t xml:space="preserve">__    </w:t>
      </w:r>
    </w:p>
    <w:p w14:paraId="39641DFD" w14:textId="77777777" w:rsidR="007C3F02" w:rsidRPr="005222F5" w:rsidRDefault="007C3F02" w:rsidP="007C3F02">
      <w:pPr>
        <w:ind w:left="360"/>
        <w:rPr>
          <w:rFonts w:asciiTheme="majorHAnsi" w:eastAsia="Calibri" w:hAnsiTheme="majorHAnsi" w:cs="Calibri"/>
          <w:sz w:val="24"/>
          <w:szCs w:val="24"/>
        </w:rPr>
      </w:pPr>
      <w:r w:rsidRPr="005222F5">
        <w:rPr>
          <w:rFonts w:asciiTheme="majorHAnsi" w:eastAsia="Calibri" w:hAnsiTheme="majorHAnsi" w:cs="Calibri"/>
          <w:sz w:val="24"/>
          <w:szCs w:val="24"/>
        </w:rPr>
        <w:t>University Supervisor: ____________________________________</w:t>
      </w:r>
    </w:p>
    <w:p w14:paraId="50DF3A17" w14:textId="77777777" w:rsidR="007C3F02" w:rsidRDefault="007C3F02" w:rsidP="007C3F02">
      <w:pPr>
        <w:spacing w:after="240"/>
        <w:ind w:left="360"/>
        <w:rPr>
          <w:rFonts w:asciiTheme="majorHAnsi" w:eastAsia="Calibri" w:hAnsiTheme="majorHAnsi" w:cs="Calibri"/>
          <w:sz w:val="24"/>
          <w:szCs w:val="24"/>
        </w:rPr>
      </w:pPr>
      <w:r w:rsidRPr="005222F5">
        <w:rPr>
          <w:rFonts w:asciiTheme="majorHAnsi" w:eastAsia="Calibri" w:hAnsiTheme="majorHAnsi" w:cs="Calibri"/>
          <w:sz w:val="24"/>
          <w:szCs w:val="24"/>
        </w:rPr>
        <w:t>Date:</w:t>
      </w:r>
      <w:r w:rsidRPr="005222F5">
        <w:rPr>
          <w:rFonts w:asciiTheme="majorHAnsi" w:eastAsia="Calibri" w:hAnsiTheme="majorHAnsi" w:cs="Calibri"/>
          <w:sz w:val="24"/>
          <w:szCs w:val="24"/>
          <w:u w:val="single"/>
        </w:rPr>
        <w:t xml:space="preserve"> ______________________________________</w:t>
      </w:r>
      <w:r w:rsidRPr="005222F5">
        <w:rPr>
          <w:rFonts w:asciiTheme="majorHAnsi" w:eastAsia="Calibri" w:hAnsiTheme="majorHAnsi" w:cs="Calibri"/>
          <w:sz w:val="24"/>
          <w:szCs w:val="24"/>
          <w:u w:val="single"/>
        </w:rPr>
        <w:tab/>
      </w:r>
      <w:r w:rsidRPr="005222F5">
        <w:rPr>
          <w:rFonts w:asciiTheme="majorHAnsi" w:eastAsia="Calibri" w:hAnsiTheme="majorHAnsi" w:cs="Calibri"/>
          <w:sz w:val="24"/>
          <w:szCs w:val="24"/>
          <w:u w:val="single"/>
        </w:rPr>
        <w:tab/>
        <w:t xml:space="preserve"> ______  </w:t>
      </w:r>
      <w:r w:rsidRPr="005222F5">
        <w:rPr>
          <w:rFonts w:asciiTheme="majorHAnsi" w:eastAsia="Calibri" w:hAnsiTheme="majorHAnsi" w:cs="Calibri"/>
          <w:sz w:val="24"/>
          <w:szCs w:val="24"/>
        </w:rPr>
        <w:t xml:space="preserve">   </w:t>
      </w:r>
    </w:p>
    <w:p w14:paraId="1EC473A0" w14:textId="77777777" w:rsidR="007C3F02" w:rsidRPr="005222F5" w:rsidRDefault="007C3F02" w:rsidP="007C3F02">
      <w:pPr>
        <w:spacing w:after="240"/>
        <w:ind w:left="360"/>
        <w:rPr>
          <w:rFonts w:asciiTheme="majorHAnsi" w:eastAsia="Calibri" w:hAnsiTheme="majorHAnsi" w:cs="Calibri"/>
          <w:sz w:val="24"/>
          <w:szCs w:val="24"/>
        </w:rPr>
      </w:pPr>
      <w:r w:rsidRPr="005222F5">
        <w:rPr>
          <w:rFonts w:ascii="Segoe UI Symbol" w:eastAsia="Calibri" w:hAnsi="Segoe UI Symbol" w:cs="Segoe UI Symbol"/>
          <w:sz w:val="24"/>
          <w:szCs w:val="24"/>
        </w:rPr>
        <w:t>☐</w:t>
      </w:r>
      <w:r w:rsidRPr="005222F5">
        <w:rPr>
          <w:rFonts w:asciiTheme="majorHAnsi" w:eastAsia="Calibri" w:hAnsiTheme="majorHAnsi" w:cs="Calibri"/>
          <w:sz w:val="24"/>
          <w:szCs w:val="24"/>
        </w:rPr>
        <w:t xml:space="preserve"> Clinical Practice Phase I  </w:t>
      </w:r>
      <w:r>
        <w:rPr>
          <w:rFonts w:asciiTheme="majorHAnsi" w:eastAsia="Calibri" w:hAnsiTheme="majorHAnsi" w:cs="Calibri"/>
          <w:sz w:val="24"/>
          <w:szCs w:val="24"/>
        </w:rPr>
        <w:t xml:space="preserve">  </w:t>
      </w:r>
      <w:r w:rsidRPr="005222F5">
        <w:rPr>
          <w:rFonts w:ascii="Segoe UI Symbol" w:eastAsia="Calibri" w:hAnsi="Segoe UI Symbol" w:cs="Segoe UI Symbol"/>
          <w:sz w:val="24"/>
          <w:szCs w:val="24"/>
        </w:rPr>
        <w:t>☐</w:t>
      </w:r>
      <w:r w:rsidRPr="005222F5">
        <w:rPr>
          <w:rFonts w:asciiTheme="majorHAnsi" w:eastAsia="Calibri" w:hAnsiTheme="majorHAnsi" w:cs="Calibri"/>
          <w:sz w:val="24"/>
          <w:szCs w:val="24"/>
        </w:rPr>
        <w:t xml:space="preserve"> Clinical Practice Phase II</w:t>
      </w:r>
    </w:p>
    <w:p w14:paraId="719490D9" w14:textId="77777777" w:rsidR="007C3F02" w:rsidRPr="005222F5" w:rsidRDefault="007C3F02" w:rsidP="007C3F02">
      <w:pPr>
        <w:spacing w:after="240"/>
        <w:ind w:left="360"/>
        <w:rPr>
          <w:rFonts w:asciiTheme="majorHAnsi" w:eastAsia="Calibri" w:hAnsiTheme="majorHAnsi" w:cs="Calibri"/>
          <w:sz w:val="2"/>
          <w:szCs w:val="2"/>
        </w:rPr>
      </w:pPr>
    </w:p>
    <w:tbl>
      <w:tblPr>
        <w:tblW w:w="12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2198"/>
        <w:gridCol w:w="1504"/>
        <w:gridCol w:w="1504"/>
        <w:gridCol w:w="1504"/>
        <w:gridCol w:w="1504"/>
        <w:gridCol w:w="1619"/>
      </w:tblGrid>
      <w:tr w:rsidR="007C3F02" w:rsidRPr="005222F5" w14:paraId="729D7631" w14:textId="77777777" w:rsidTr="00D7581C">
        <w:trPr>
          <w:trHeight w:val="221"/>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6B85B8DC"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Elements</w:t>
            </w:r>
          </w:p>
        </w:tc>
        <w:tc>
          <w:tcPr>
            <w:tcW w:w="21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11BCA6"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Candidate Proficiency</w:t>
            </w:r>
          </w:p>
        </w:tc>
        <w:tc>
          <w:tcPr>
            <w:tcW w:w="15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7ECEFF"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D7EA4D"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II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444165"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III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8DAD15"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IV</w:t>
            </w:r>
          </w:p>
        </w:tc>
        <w:tc>
          <w:tcPr>
            <w:tcW w:w="1619" w:type="dxa"/>
            <w:tcBorders>
              <w:top w:val="single" w:sz="4" w:space="0" w:color="000000"/>
              <w:left w:val="single" w:sz="4" w:space="0" w:color="000000"/>
              <w:bottom w:val="single" w:sz="4" w:space="0" w:color="000000"/>
              <w:right w:val="single" w:sz="4" w:space="0" w:color="000000"/>
            </w:tcBorders>
            <w:shd w:val="clear" w:color="auto" w:fill="BFBFBF"/>
          </w:tcPr>
          <w:p w14:paraId="4B360653" w14:textId="77777777" w:rsidR="007C3F02" w:rsidRPr="005222F5" w:rsidRDefault="007C3F02" w:rsidP="00D7581C">
            <w:pPr>
              <w:spacing w:after="0" w:line="240" w:lineRule="auto"/>
              <w:jc w:val="center"/>
              <w:rPr>
                <w:rFonts w:asciiTheme="majorHAnsi" w:hAnsiTheme="majorHAnsi"/>
                <w:i/>
              </w:rPr>
            </w:pPr>
            <w:r w:rsidRPr="005222F5">
              <w:rPr>
                <w:rFonts w:asciiTheme="majorHAnsi" w:hAnsiTheme="majorHAnsi"/>
                <w:i/>
              </w:rPr>
              <w:t>Comments</w:t>
            </w:r>
          </w:p>
        </w:tc>
      </w:tr>
      <w:tr w:rsidR="007C3F02" w:rsidRPr="00A2006B" w14:paraId="2B059C05" w14:textId="77777777" w:rsidTr="00D7581C">
        <w:trPr>
          <w:trHeight w:val="853"/>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1DCC200D" w14:textId="77777777" w:rsidR="007C3F02" w:rsidRPr="00A2006B" w:rsidRDefault="007C3F02" w:rsidP="00D7581C">
            <w:pPr>
              <w:spacing w:after="0" w:line="240" w:lineRule="auto"/>
              <w:rPr>
                <w:rFonts w:asciiTheme="majorHAnsi" w:eastAsia="Times New Roman" w:hAnsiTheme="majorHAnsi" w:cs="Times New Roman"/>
              </w:rPr>
            </w:pPr>
            <w:r w:rsidRPr="00A2006B">
              <w:rPr>
                <w:rFonts w:asciiTheme="majorHAnsi" w:eastAsia="Arial" w:hAnsiTheme="majorHAnsi" w:cs="Arial"/>
                <w:i/>
                <w:iCs/>
                <w:color w:val="000000"/>
              </w:rPr>
              <w:t>Professional Standards</w:t>
            </w:r>
          </w:p>
          <w:p w14:paraId="3AF65C14" w14:textId="77777777" w:rsidR="007C3F02" w:rsidRPr="00A2006B" w:rsidRDefault="007C3F02" w:rsidP="00D7581C">
            <w:pPr>
              <w:spacing w:after="0" w:line="240" w:lineRule="auto"/>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Pr>
          <w:p w14:paraId="18373E70" w14:textId="77777777" w:rsidR="007C3F02" w:rsidRPr="00A2006B" w:rsidRDefault="007C3F02" w:rsidP="00D7581C">
            <w:pPr>
              <w:spacing w:after="0" w:line="240" w:lineRule="auto"/>
              <w:rPr>
                <w:rFonts w:asciiTheme="majorHAnsi" w:eastAsia="Times New Roman" w:hAnsiTheme="majorHAnsi" w:cs="Times New Roman"/>
                <w:sz w:val="18"/>
                <w:szCs w:val="18"/>
              </w:rPr>
            </w:pPr>
            <w:r w:rsidRPr="00A2006B">
              <w:rPr>
                <w:rFonts w:asciiTheme="majorHAnsi" w:eastAsia="Calibri" w:hAnsiTheme="majorHAnsi" w:cs="Calibri"/>
                <w:color w:val="000000"/>
                <w:sz w:val="18"/>
                <w:szCs w:val="18"/>
              </w:rPr>
              <w:t>Demonstrate ethical standards, teaching, and evidence based educational practices in relation to theories, research and regulations necessary to the provision of services to individuals with disabilities and their families.</w:t>
            </w:r>
          </w:p>
          <w:p w14:paraId="1A6319FE" w14:textId="77777777" w:rsidR="007C3F02" w:rsidRPr="00A2006B" w:rsidRDefault="007C3F02" w:rsidP="00D7581C">
            <w:pPr>
              <w:spacing w:after="0" w:line="240" w:lineRule="auto"/>
              <w:rPr>
                <w:rFonts w:asciiTheme="majorHAnsi" w:eastAsia="Times New Roman" w:hAnsiTheme="majorHAnsi" w:cs="Times New Roman"/>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8EDCD"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10F7CB1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B6E7"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0713805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EA24"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2CD90F77"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31E67"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2A22048D"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7615525C" w14:textId="77777777" w:rsidR="007C3F02" w:rsidRPr="00A2006B" w:rsidRDefault="007C3F02" w:rsidP="00D7581C">
            <w:pPr>
              <w:jc w:val="center"/>
              <w:rPr>
                <w:rFonts w:asciiTheme="majorHAnsi" w:eastAsia="Calibri" w:hAnsiTheme="majorHAnsi" w:cs="Calibri"/>
                <w:sz w:val="18"/>
                <w:szCs w:val="18"/>
              </w:rPr>
            </w:pPr>
          </w:p>
        </w:tc>
      </w:tr>
    </w:tbl>
    <w:p w14:paraId="113F2464" w14:textId="77777777" w:rsidR="007C3F02" w:rsidRDefault="007C3F02" w:rsidP="007C3F02"/>
    <w:p w14:paraId="3E63C920" w14:textId="77777777" w:rsidR="007C3F02" w:rsidRDefault="007C3F02" w:rsidP="007C3F02"/>
    <w:p w14:paraId="15279E54" w14:textId="77777777" w:rsidR="007C3F02" w:rsidRDefault="007C3F02" w:rsidP="007C3F02"/>
    <w:p w14:paraId="2BF1BDDB" w14:textId="77777777" w:rsidR="007C3F02" w:rsidRDefault="007C3F02" w:rsidP="007C3F02"/>
    <w:p w14:paraId="740D3D04" w14:textId="77777777" w:rsidR="007C3F02" w:rsidRDefault="007C3F02" w:rsidP="007C3F02"/>
    <w:tbl>
      <w:tblPr>
        <w:tblW w:w="12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2198"/>
        <w:gridCol w:w="1504"/>
        <w:gridCol w:w="1504"/>
        <w:gridCol w:w="1504"/>
        <w:gridCol w:w="1504"/>
        <w:gridCol w:w="1619"/>
      </w:tblGrid>
      <w:tr w:rsidR="007C3F02" w:rsidRPr="00A2006B" w14:paraId="200A57F7" w14:textId="77777777" w:rsidTr="00D7581C">
        <w:trPr>
          <w:trHeight w:val="382"/>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3AEAC714" w14:textId="77777777" w:rsidR="007C3F02" w:rsidRPr="00A2006B" w:rsidRDefault="007C3F02" w:rsidP="00D7581C">
            <w:pPr>
              <w:spacing w:after="0" w:line="240" w:lineRule="auto"/>
              <w:rPr>
                <w:rFonts w:asciiTheme="majorHAnsi" w:eastAsia="Arial" w:hAnsiTheme="majorHAnsi" w:cs="Arial"/>
                <w:i/>
                <w:color w:val="000000"/>
              </w:rPr>
            </w:pPr>
            <w:r w:rsidRPr="005222F5">
              <w:rPr>
                <w:rFonts w:asciiTheme="majorHAnsi" w:hAnsiTheme="majorHAnsi"/>
                <w:i/>
              </w:rPr>
              <w:lastRenderedPageBreak/>
              <w:t>Elements</w:t>
            </w:r>
          </w:p>
        </w:tc>
        <w:tc>
          <w:tcPr>
            <w:tcW w:w="21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E41139" w14:textId="77777777" w:rsidR="007C3F02" w:rsidRPr="00582C9A" w:rsidRDefault="007C3F02" w:rsidP="00D7581C">
            <w:pPr>
              <w:spacing w:after="0" w:line="240" w:lineRule="auto"/>
              <w:rPr>
                <w:rFonts w:asciiTheme="majorHAnsi" w:eastAsia="Calibri" w:hAnsiTheme="majorHAnsi" w:cs="Calibri"/>
                <w:color w:val="000000"/>
                <w:sz w:val="18"/>
                <w:szCs w:val="18"/>
              </w:rPr>
            </w:pPr>
            <w:r w:rsidRPr="005222F5">
              <w:rPr>
                <w:rFonts w:asciiTheme="majorHAnsi" w:hAnsiTheme="majorHAnsi"/>
                <w:i/>
              </w:rPr>
              <w:t>Candidate Proficiency</w:t>
            </w:r>
          </w:p>
        </w:tc>
        <w:tc>
          <w:tcPr>
            <w:tcW w:w="1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759212" w14:textId="77777777" w:rsidR="007C3F02" w:rsidRPr="00A2006B" w:rsidRDefault="007C3F02" w:rsidP="00D7581C">
            <w:pPr>
              <w:jc w:val="center"/>
              <w:rPr>
                <w:rFonts w:asciiTheme="majorHAnsi" w:eastAsia="Calibri" w:hAnsiTheme="majorHAnsi" w:cs="Calibri"/>
                <w:sz w:val="18"/>
                <w:szCs w:val="18"/>
              </w:rPr>
            </w:pPr>
            <w:r w:rsidRPr="005222F5">
              <w:rPr>
                <w:rFonts w:asciiTheme="majorHAnsi" w:hAnsiTheme="majorHAnsi"/>
                <w:i/>
              </w:rPr>
              <w:t>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7198A0" w14:textId="77777777" w:rsidR="007C3F02" w:rsidRPr="00A2006B" w:rsidRDefault="007C3F02" w:rsidP="00D7581C">
            <w:pPr>
              <w:jc w:val="center"/>
              <w:rPr>
                <w:rFonts w:asciiTheme="majorHAnsi" w:eastAsia="Calibri" w:hAnsiTheme="majorHAnsi" w:cs="Calibri"/>
                <w:sz w:val="18"/>
                <w:szCs w:val="18"/>
              </w:rPr>
            </w:pPr>
            <w:r w:rsidRPr="005222F5">
              <w:rPr>
                <w:rFonts w:asciiTheme="majorHAnsi" w:hAnsiTheme="majorHAnsi"/>
                <w:i/>
              </w:rPr>
              <w:t>II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F91508" w14:textId="77777777" w:rsidR="007C3F02" w:rsidRPr="00A2006B" w:rsidRDefault="007C3F02" w:rsidP="00D7581C">
            <w:pPr>
              <w:jc w:val="center"/>
              <w:rPr>
                <w:rFonts w:asciiTheme="majorHAnsi" w:eastAsia="Calibri" w:hAnsiTheme="majorHAnsi" w:cs="Calibri"/>
                <w:sz w:val="18"/>
                <w:szCs w:val="18"/>
              </w:rPr>
            </w:pPr>
            <w:r w:rsidRPr="005222F5">
              <w:rPr>
                <w:rFonts w:asciiTheme="majorHAnsi" w:hAnsiTheme="majorHAnsi"/>
                <w:i/>
              </w:rPr>
              <w:t>III</w:t>
            </w:r>
          </w:p>
        </w:tc>
        <w:tc>
          <w:tcPr>
            <w:tcW w:w="15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A8A4C2" w14:textId="77777777" w:rsidR="007C3F02" w:rsidRPr="00A2006B" w:rsidRDefault="007C3F02" w:rsidP="00D7581C">
            <w:pPr>
              <w:jc w:val="center"/>
              <w:rPr>
                <w:rFonts w:asciiTheme="majorHAnsi" w:eastAsia="Calibri" w:hAnsiTheme="majorHAnsi" w:cs="Calibri"/>
                <w:sz w:val="18"/>
                <w:szCs w:val="18"/>
              </w:rPr>
            </w:pPr>
            <w:r w:rsidRPr="005222F5">
              <w:rPr>
                <w:rFonts w:asciiTheme="majorHAnsi" w:hAnsiTheme="majorHAnsi"/>
                <w:i/>
              </w:rPr>
              <w:t>IV</w:t>
            </w:r>
          </w:p>
        </w:tc>
        <w:tc>
          <w:tcPr>
            <w:tcW w:w="16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C55995" w14:textId="77777777" w:rsidR="007C3F02" w:rsidRPr="00A2006B" w:rsidRDefault="007C3F02" w:rsidP="00D7581C">
            <w:pPr>
              <w:jc w:val="center"/>
              <w:rPr>
                <w:rFonts w:asciiTheme="majorHAnsi" w:eastAsia="Calibri" w:hAnsiTheme="majorHAnsi" w:cs="Calibri"/>
                <w:sz w:val="18"/>
                <w:szCs w:val="18"/>
              </w:rPr>
            </w:pPr>
            <w:r w:rsidRPr="005222F5">
              <w:rPr>
                <w:rFonts w:asciiTheme="majorHAnsi" w:hAnsiTheme="majorHAnsi"/>
                <w:i/>
              </w:rPr>
              <w:t>Comments</w:t>
            </w:r>
          </w:p>
        </w:tc>
      </w:tr>
      <w:tr w:rsidR="007C3F02" w:rsidRPr="00A2006B" w14:paraId="6F4ED526" w14:textId="77777777" w:rsidTr="00D7581C">
        <w:trPr>
          <w:trHeight w:val="644"/>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47DD5700" w14:textId="77777777" w:rsidR="007C3F02" w:rsidRPr="00A2006B" w:rsidRDefault="007C3F02" w:rsidP="00D7581C">
            <w:pPr>
              <w:spacing w:after="0" w:line="240" w:lineRule="auto"/>
              <w:rPr>
                <w:rFonts w:asciiTheme="majorHAnsi" w:eastAsia="Times New Roman" w:hAnsiTheme="majorHAnsi" w:cs="Times New Roman"/>
              </w:rPr>
            </w:pPr>
            <w:r w:rsidRPr="00A2006B">
              <w:rPr>
                <w:rFonts w:asciiTheme="majorHAnsi" w:eastAsia="Arial" w:hAnsiTheme="majorHAnsi" w:cs="Arial"/>
                <w:i/>
                <w:color w:val="000000"/>
              </w:rPr>
              <w:t xml:space="preserve">Collaboration, Communication, and Consultation </w:t>
            </w:r>
          </w:p>
          <w:p w14:paraId="115F84A7" w14:textId="77777777" w:rsidR="007C3F02" w:rsidRPr="00A2006B"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0B27E" w14:textId="77777777" w:rsidR="007C3F02" w:rsidRPr="00291D5C"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Communicate, collaborate and consult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 (Included in the communication is information to family members regarding typical developmental expectations as well as the impact of the disability on developmental progress.)</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4B9D"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596D969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B615"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39F4294F"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181D4"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743EA2D1"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0EFC"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6AC0921E"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78B2680E"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05FE4586" w14:textId="77777777" w:rsidTr="00D7581C">
        <w:trPr>
          <w:trHeight w:val="1039"/>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3E53FA95" w14:textId="77777777" w:rsidR="007C3F02" w:rsidRPr="005222F5" w:rsidRDefault="007C3F02" w:rsidP="00D7581C">
            <w:pPr>
              <w:spacing w:after="0" w:line="240" w:lineRule="auto"/>
              <w:rPr>
                <w:rFonts w:asciiTheme="majorHAnsi" w:eastAsia="Times New Roman" w:hAnsiTheme="majorHAnsi" w:cs="Times New Roman"/>
                <w:sz w:val="24"/>
                <w:szCs w:val="24"/>
              </w:rPr>
            </w:pPr>
            <w:r w:rsidRPr="005222F5">
              <w:rPr>
                <w:rFonts w:asciiTheme="majorHAnsi" w:eastAsia="Arial" w:hAnsiTheme="majorHAnsi" w:cs="Arial"/>
                <w:i/>
                <w:color w:val="000000"/>
              </w:rPr>
              <w:t xml:space="preserve">Utilizing a Continuum of Services </w:t>
            </w:r>
          </w:p>
          <w:p w14:paraId="36C0EFA2" w14:textId="77777777" w:rsidR="007C3F02" w:rsidRPr="005222F5"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FAF6"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Establish and work in partnerships to design, implement, and evaluate appropriate, integrated services based on individual student needs including p</w:t>
            </w:r>
            <w:r w:rsidRPr="00582C9A">
              <w:rPr>
                <w:rFonts w:asciiTheme="majorHAnsi" w:eastAsia="Calibri" w:hAnsiTheme="majorHAnsi" w:cs="Calibri"/>
                <w:color w:val="000000"/>
                <w:sz w:val="18"/>
                <w:szCs w:val="18"/>
                <w:highlight w:val="white"/>
              </w:rPr>
              <w:t>rocuring services by accessing other professionals and agencies to acquire information regarding students’ sensory, movement, mobility and specialized health care services.</w:t>
            </w:r>
          </w:p>
          <w:p w14:paraId="3A69726E" w14:textId="77777777" w:rsidR="007C3F02" w:rsidRPr="00582C9A" w:rsidRDefault="007C3F02" w:rsidP="00D7581C">
            <w:pPr>
              <w:pBdr>
                <w:top w:val="nil"/>
                <w:left w:val="nil"/>
                <w:bottom w:val="nil"/>
                <w:right w:val="nil"/>
                <w:between w:val="nil"/>
              </w:pBdr>
              <w:spacing w:line="240" w:lineRule="auto"/>
              <w:rPr>
                <w:rFonts w:asciiTheme="majorHAnsi" w:eastAsia="Calibri" w:hAnsiTheme="majorHAnsi" w:cs="Calibri"/>
                <w:color w:val="000000"/>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7AF3D"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10EAA9BB"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1412"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20D4C5AA"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DD68"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7ECD9FAA"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34880"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2EB12733"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5D399B0E"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3E5EB4C4" w14:textId="77777777" w:rsidTr="00D7581C">
        <w:trPr>
          <w:trHeight w:val="1589"/>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06BDEC91" w14:textId="77777777" w:rsidR="007C3F02" w:rsidRPr="005222F5" w:rsidRDefault="007C3F02" w:rsidP="00D7581C">
            <w:pPr>
              <w:spacing w:after="0" w:line="240" w:lineRule="auto"/>
              <w:rPr>
                <w:rFonts w:asciiTheme="majorHAnsi" w:eastAsia="Times New Roman" w:hAnsiTheme="majorHAnsi" w:cs="Times New Roman"/>
                <w:sz w:val="24"/>
                <w:szCs w:val="24"/>
              </w:rPr>
            </w:pPr>
            <w:r w:rsidRPr="005222F5">
              <w:rPr>
                <w:rFonts w:asciiTheme="majorHAnsi" w:eastAsia="Arial" w:hAnsiTheme="majorHAnsi" w:cs="Arial"/>
                <w:i/>
                <w:color w:val="000000"/>
              </w:rPr>
              <w:lastRenderedPageBreak/>
              <w:t>Transition</w:t>
            </w:r>
          </w:p>
          <w:p w14:paraId="3F2923B5" w14:textId="77777777" w:rsidR="007C3F02" w:rsidRPr="005222F5"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B6F7"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Using advocacy skills, communicate effectively with the business community, public and non-public agencies, to provide the cohesive delivery of services, and bridge transitional stages, as well as plan, implement, and evaluate</w:t>
            </w:r>
            <w:r>
              <w:rPr>
                <w:rFonts w:asciiTheme="majorHAnsi" w:eastAsia="Calibri" w:hAnsiTheme="majorHAnsi" w:cs="Calibri"/>
                <w:color w:val="000000"/>
                <w:sz w:val="18"/>
                <w:szCs w:val="18"/>
              </w:rPr>
              <w:t xml:space="preserve"> transitional life experiences </w:t>
            </w:r>
            <w:r w:rsidRPr="00582C9A">
              <w:rPr>
                <w:rFonts w:asciiTheme="majorHAnsi" w:eastAsia="Calibri" w:hAnsiTheme="majorHAnsi" w:cs="Calibri"/>
                <w:color w:val="000000"/>
                <w:sz w:val="18"/>
                <w:szCs w:val="18"/>
              </w:rPr>
              <w:t>across the lifespan for all learners with moderate/severe disabilities, including those who are deaf-blind and/or those with additional disabilities.</w:t>
            </w:r>
          </w:p>
          <w:p w14:paraId="7BB6DDE5" w14:textId="77777777" w:rsidR="007C3F02" w:rsidRDefault="007C3F02" w:rsidP="00D7581C">
            <w:pPr>
              <w:spacing w:after="0" w:line="240" w:lineRule="auto"/>
              <w:rPr>
                <w:rFonts w:asciiTheme="majorHAnsi" w:eastAsia="Times New Roman" w:hAnsiTheme="majorHAnsi" w:cs="Times New Roman"/>
                <w:sz w:val="18"/>
                <w:szCs w:val="18"/>
              </w:rPr>
            </w:pPr>
          </w:p>
          <w:p w14:paraId="316B94ED" w14:textId="77777777" w:rsidR="007C3F02" w:rsidRPr="00582C9A" w:rsidRDefault="007C3F02" w:rsidP="00D7581C">
            <w:pPr>
              <w:spacing w:after="0" w:line="240" w:lineRule="auto"/>
              <w:rPr>
                <w:rFonts w:asciiTheme="majorHAnsi" w:eastAsia="Times New Roman" w:hAnsiTheme="majorHAnsi" w:cs="Times New Roman"/>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D0FF5"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4C99E4E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F1C8D"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5E27349F"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AAB14"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1721E6A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339E"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58BAE88C"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15782CE3"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31488487"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524994CD" w14:textId="77777777" w:rsidR="007C3F02" w:rsidRPr="005222F5" w:rsidRDefault="007C3F02" w:rsidP="00D7581C">
            <w:pPr>
              <w:pBdr>
                <w:top w:val="nil"/>
                <w:left w:val="nil"/>
                <w:bottom w:val="nil"/>
                <w:right w:val="nil"/>
                <w:between w:val="nil"/>
              </w:pBdr>
              <w:spacing w:after="0" w:line="240" w:lineRule="auto"/>
              <w:rPr>
                <w:rFonts w:asciiTheme="majorHAnsi" w:eastAsia="Times New Roman" w:hAnsiTheme="majorHAnsi" w:cs="Times New Roman"/>
                <w:color w:val="000000"/>
                <w:sz w:val="24"/>
                <w:szCs w:val="24"/>
              </w:rPr>
            </w:pPr>
            <w:r w:rsidRPr="005222F5">
              <w:rPr>
                <w:rFonts w:asciiTheme="majorHAnsi" w:eastAsia="Arial" w:hAnsiTheme="majorHAnsi" w:cs="Arial"/>
                <w:color w:val="000000"/>
                <w:sz w:val="14"/>
                <w:szCs w:val="14"/>
              </w:rPr>
              <w:t xml:space="preserve"> </w:t>
            </w:r>
            <w:r w:rsidRPr="005222F5">
              <w:rPr>
                <w:rFonts w:asciiTheme="majorHAnsi" w:eastAsia="Arial" w:hAnsiTheme="majorHAnsi" w:cs="Arial"/>
                <w:i/>
                <w:color w:val="000000"/>
              </w:rPr>
              <w:t>Assistive and Augmentative</w:t>
            </w:r>
          </w:p>
          <w:p w14:paraId="6BDE4EE4" w14:textId="77777777" w:rsidR="007C3F02" w:rsidRPr="005222F5" w:rsidRDefault="007C3F02" w:rsidP="00D7581C">
            <w:pPr>
              <w:pBdr>
                <w:top w:val="nil"/>
                <w:left w:val="nil"/>
                <w:bottom w:val="nil"/>
                <w:right w:val="nil"/>
                <w:between w:val="nil"/>
              </w:pBdr>
              <w:spacing w:after="0" w:line="240" w:lineRule="auto"/>
              <w:rPr>
                <w:rFonts w:asciiTheme="majorHAnsi" w:eastAsia="Times New Roman" w:hAnsiTheme="majorHAnsi" w:cs="Times New Roman"/>
                <w:color w:val="000000"/>
                <w:sz w:val="24"/>
                <w:szCs w:val="24"/>
              </w:rPr>
            </w:pPr>
            <w:r w:rsidRPr="005222F5">
              <w:rPr>
                <w:rFonts w:asciiTheme="majorHAnsi" w:eastAsia="Arial" w:hAnsiTheme="majorHAnsi" w:cs="Arial"/>
                <w:i/>
                <w:color w:val="000000"/>
              </w:rPr>
              <w:t>Technology</w:t>
            </w:r>
          </w:p>
          <w:p w14:paraId="4A85798A" w14:textId="77777777" w:rsidR="007C3F02" w:rsidRPr="005222F5" w:rsidRDefault="007C3F02" w:rsidP="00D7581C">
            <w:pPr>
              <w:rPr>
                <w:rFonts w:asciiTheme="majorHAnsi" w:hAnsiTheme="majorHAnsi"/>
              </w:rPr>
            </w:pPr>
          </w:p>
          <w:p w14:paraId="7D946E95" w14:textId="77777777" w:rsidR="007C3F02" w:rsidRPr="005222F5"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46F6"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 xml:space="preserve">Employ assistive technology (including augmentative and alternative communication technology), using low and high equipment and materials to facilitate communication, curriculum access, and skill development of </w:t>
            </w:r>
            <w:r w:rsidRPr="00582C9A">
              <w:rPr>
                <w:rFonts w:asciiTheme="majorHAnsi" w:eastAsia="Calibri" w:hAnsiTheme="majorHAnsi" w:cs="Calibri"/>
                <w:color w:val="000000"/>
                <w:sz w:val="18"/>
                <w:szCs w:val="18"/>
                <w:highlight w:val="white"/>
              </w:rPr>
              <w:t>students with moderate/severe disabilities, including students with physical/orthopedic disabilities, other health impairments, deaf/</w:t>
            </w:r>
            <w:r>
              <w:rPr>
                <w:rFonts w:asciiTheme="majorHAnsi" w:eastAsia="Calibri" w:hAnsiTheme="majorHAnsi" w:cs="Calibri"/>
                <w:color w:val="000000"/>
                <w:sz w:val="18"/>
                <w:szCs w:val="18"/>
                <w:highlight w:val="white"/>
              </w:rPr>
              <w:t>blind and multiple disabilities</w:t>
            </w:r>
            <w:r w:rsidRPr="00582C9A">
              <w:rPr>
                <w:rFonts w:asciiTheme="majorHAnsi" w:eastAsia="Calibri" w:hAnsiTheme="majorHAnsi" w:cs="Calibri"/>
                <w:color w:val="000000"/>
                <w:sz w:val="18"/>
                <w:szCs w:val="18"/>
              </w:rPr>
              <w:t>, using assessment data to develop needed augmentative and alternative systems.</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1684"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7FBACD4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1D211"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0FC4B5B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D14D"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111923B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9B18"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7CF98E01"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0CC9B59A" w14:textId="77777777" w:rsidR="007C3F02" w:rsidRPr="00A2006B" w:rsidRDefault="007C3F02" w:rsidP="00D7581C">
            <w:pPr>
              <w:jc w:val="center"/>
              <w:rPr>
                <w:rFonts w:asciiTheme="majorHAnsi" w:eastAsia="Calibri" w:hAnsiTheme="majorHAnsi" w:cs="Calibri"/>
                <w:sz w:val="18"/>
                <w:szCs w:val="18"/>
              </w:rPr>
            </w:pPr>
          </w:p>
        </w:tc>
      </w:tr>
    </w:tbl>
    <w:p w14:paraId="4610EFA2" w14:textId="77777777" w:rsidR="007C3F02" w:rsidRDefault="007C3F02" w:rsidP="007C3F02"/>
    <w:p w14:paraId="12C5E35C" w14:textId="77777777" w:rsidR="007C3F02" w:rsidRDefault="007C3F02" w:rsidP="007C3F02"/>
    <w:p w14:paraId="4CAFFB2A" w14:textId="77777777" w:rsidR="007C3F02" w:rsidRDefault="007C3F02" w:rsidP="007C3F02"/>
    <w:tbl>
      <w:tblPr>
        <w:tblW w:w="12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2198"/>
        <w:gridCol w:w="1504"/>
        <w:gridCol w:w="1504"/>
        <w:gridCol w:w="1504"/>
        <w:gridCol w:w="1504"/>
        <w:gridCol w:w="1619"/>
      </w:tblGrid>
      <w:tr w:rsidR="007C3F02" w:rsidRPr="00A2006B" w14:paraId="34C13BB8"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164363AF"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lastRenderedPageBreak/>
              <w:t>IFSP/IEP/ITP</w:t>
            </w:r>
          </w:p>
          <w:p w14:paraId="3253F9DB" w14:textId="77777777" w:rsidR="007C3F02" w:rsidRPr="005222F5"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512C2"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 while determining the implications of mod/severe characteristics for service delivery.</w:t>
            </w:r>
          </w:p>
          <w:p w14:paraId="09CD9244" w14:textId="77777777" w:rsidR="007C3F02" w:rsidRPr="00582C9A" w:rsidRDefault="007C3F02" w:rsidP="00D7581C">
            <w:pPr>
              <w:pBdr>
                <w:top w:val="nil"/>
                <w:left w:val="nil"/>
                <w:bottom w:val="nil"/>
                <w:right w:val="nil"/>
                <w:between w:val="nil"/>
              </w:pBdr>
              <w:spacing w:line="240" w:lineRule="auto"/>
              <w:rPr>
                <w:rFonts w:asciiTheme="majorHAnsi" w:eastAsia="Calibri" w:hAnsiTheme="majorHAnsi" w:cs="Calibri"/>
                <w:color w:val="000000"/>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102DC"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408788B0"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3AED1"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7EA64A7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7618"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6A565FD7"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7B53E"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52E0C1D8"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13796FC3"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0B81F629" w14:textId="77777777" w:rsidTr="00D7581C">
        <w:trPr>
          <w:trHeight w:val="2094"/>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741CDE4D"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t>Collaborate and</w:t>
            </w:r>
            <w:r>
              <w:rPr>
                <w:rFonts w:asciiTheme="majorHAnsi" w:eastAsia="Arial" w:hAnsiTheme="majorHAnsi" w:cs="Arial"/>
                <w:i/>
                <w:color w:val="000000"/>
              </w:rPr>
              <w:t xml:space="preserve">     </w:t>
            </w:r>
            <w:r w:rsidRPr="003B45EA">
              <w:rPr>
                <w:rFonts w:asciiTheme="majorHAnsi" w:eastAsia="Arial" w:hAnsiTheme="majorHAnsi" w:cs="Arial"/>
                <w:i/>
                <w:color w:val="000000"/>
              </w:rPr>
              <w:t xml:space="preserve"> Co-Teach</w:t>
            </w:r>
          </w:p>
          <w:p w14:paraId="128935B9" w14:textId="77777777" w:rsidR="007C3F02" w:rsidRPr="003B45EA"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B686"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Collaborate, co-teach, and consult with specialists, paraprofessionals and parents to work in instructional teams, enhancing curriculum and instruction of students with disabilities and providing the appropriate, safe, &amp; consistent support across all settings.</w:t>
            </w:r>
          </w:p>
          <w:p w14:paraId="5F0D14FC" w14:textId="77777777" w:rsidR="007C3F02" w:rsidRPr="00582C9A" w:rsidRDefault="007C3F02" w:rsidP="00D7581C">
            <w:pPr>
              <w:pBdr>
                <w:top w:val="nil"/>
                <w:left w:val="nil"/>
                <w:bottom w:val="nil"/>
                <w:right w:val="nil"/>
                <w:between w:val="nil"/>
              </w:pBdr>
              <w:spacing w:line="240" w:lineRule="auto"/>
              <w:rPr>
                <w:rFonts w:asciiTheme="majorHAnsi" w:eastAsia="Calibri" w:hAnsiTheme="majorHAnsi" w:cs="Calibri"/>
                <w:color w:val="000000"/>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ED61"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36A14FF2"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C91C"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32241AFA"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C090"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5F8722B0"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A93A0"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6E0E4B39"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3568AB57"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47377449"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13CD364C"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t>Creating Healthy Learning Environments</w:t>
            </w:r>
          </w:p>
          <w:p w14:paraId="42A8CC50" w14:textId="77777777" w:rsidR="007C3F02" w:rsidRPr="003B45EA" w:rsidRDefault="007C3F02" w:rsidP="00D7581C">
            <w:pPr>
              <w:spacing w:after="0" w:line="240" w:lineRule="auto"/>
              <w:ind w:left="288"/>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F692"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Utilize universal precautions designed to protect the health and safety of the candidates themselves.</w:t>
            </w:r>
          </w:p>
          <w:p w14:paraId="4CAA3341" w14:textId="77777777" w:rsidR="007C3F02" w:rsidRPr="00582C9A" w:rsidRDefault="007C3F02" w:rsidP="00D7581C">
            <w:pPr>
              <w:pBdr>
                <w:top w:val="nil"/>
                <w:left w:val="nil"/>
                <w:bottom w:val="nil"/>
                <w:right w:val="nil"/>
                <w:between w:val="nil"/>
              </w:pBdr>
              <w:spacing w:line="240" w:lineRule="auto"/>
              <w:rPr>
                <w:rFonts w:asciiTheme="majorHAnsi" w:eastAsia="Calibri" w:hAnsiTheme="majorHAnsi" w:cs="Calibri"/>
                <w:color w:val="000000"/>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D13E3"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3170CC0C"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C75E"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68FD474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4385F"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52137C9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6BCB"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0EF73AC4"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3D9639E2"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5556C39A"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3574DE8D"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lastRenderedPageBreak/>
              <w:t>Utilizing Resources</w:t>
            </w:r>
          </w:p>
          <w:p w14:paraId="5F8A8C61" w14:textId="77777777" w:rsidR="007C3F02" w:rsidRPr="003B45EA" w:rsidRDefault="007C3F02" w:rsidP="00D7581C">
            <w:pPr>
              <w:spacing w:after="0" w:line="240" w:lineRule="auto"/>
              <w:rPr>
                <w:rFonts w:asciiTheme="majorHAnsi" w:eastAsia="Times New Roman" w:hAnsiTheme="majorHAnsi" w:cs="Times New Roman"/>
                <w:i/>
                <w:sz w:val="24"/>
                <w:szCs w:val="24"/>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582D"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highlight w:val="white"/>
              </w:rPr>
              <w:t>Access site-based and community resources and agencies in order to provide integrated support to meet the individual needs of each student, including social, health, educational, language and other services.</w:t>
            </w:r>
          </w:p>
          <w:p w14:paraId="499BA89D" w14:textId="77777777" w:rsidR="007C3F02" w:rsidRPr="00582C9A" w:rsidRDefault="007C3F02" w:rsidP="00D7581C">
            <w:pPr>
              <w:spacing w:after="0" w:line="240" w:lineRule="auto"/>
              <w:rPr>
                <w:rFonts w:asciiTheme="majorHAnsi" w:eastAsia="Times New Roman" w:hAnsiTheme="majorHAnsi" w:cs="Times New Roman"/>
                <w:sz w:val="18"/>
                <w:szCs w:val="18"/>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068F2"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6BE70AEA"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AEB8"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5E2D781F"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2EB5"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181A8962"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52DD9"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408CAEFB"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7021A228"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6F16B561"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7C9ADA83"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t>Communication</w:t>
            </w:r>
          </w:p>
          <w:p w14:paraId="5BBDBF2F" w14:textId="77777777" w:rsidR="007C3F02" w:rsidRPr="003B45EA" w:rsidRDefault="007C3F02" w:rsidP="00D7581C">
            <w:pPr>
              <w:spacing w:after="0" w:line="240" w:lineRule="auto"/>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C67FC" w14:textId="77777777" w:rsidR="007C3F02" w:rsidRPr="00291D5C"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Use assessment data to implement instruction of communication and social skills, by creating and facilitating opportunities for interaction to demonstrate student academic knowledge across all settings.</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DF655"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77AFCECD"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89F5"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6CC23CAA"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3C97"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3B87705B"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2481"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2BFB53B6"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63C747B4"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4D9C5C80"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55394725"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t>Behavior Support Systems</w:t>
            </w:r>
          </w:p>
          <w:p w14:paraId="116B287E" w14:textId="77777777" w:rsidR="007C3F02" w:rsidRPr="003B45EA" w:rsidRDefault="007C3F02" w:rsidP="00D7581C">
            <w:pPr>
              <w:spacing w:after="0" w:line="240" w:lineRule="auto"/>
              <w:rPr>
                <w:rFonts w:asciiTheme="majorHAnsi" w:hAnsiTheme="majorHAnsi"/>
                <w:i/>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D1947" w14:textId="77777777" w:rsidR="007C3F02" w:rsidRPr="00291D5C"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rPr>
              <w:t>Participate effectively in school wide behavior support processes, while establishing and maintaining an educational environment that is free from coercion and punishment and where interventions are positive, proactive, and respectful of students, and, when appropriate, based on functional behavior assessments and manifestation determinations.</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F98C7"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3F54D7EB"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C331B"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64715964"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2F36"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09431B50"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86BB"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13EC9664"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765247E0" w14:textId="77777777" w:rsidR="007C3F02" w:rsidRPr="00A2006B" w:rsidRDefault="007C3F02" w:rsidP="00D7581C">
            <w:pPr>
              <w:jc w:val="center"/>
              <w:rPr>
                <w:rFonts w:asciiTheme="majorHAnsi" w:eastAsia="Calibri" w:hAnsiTheme="majorHAnsi" w:cs="Calibri"/>
                <w:sz w:val="18"/>
                <w:szCs w:val="18"/>
              </w:rPr>
            </w:pPr>
          </w:p>
        </w:tc>
      </w:tr>
      <w:tr w:rsidR="007C3F02" w:rsidRPr="00A2006B" w14:paraId="7410C8B3" w14:textId="77777777" w:rsidTr="00D7581C">
        <w:trPr>
          <w:trHeight w:val="776"/>
          <w:jc w:val="center"/>
        </w:trPr>
        <w:tc>
          <w:tcPr>
            <w:tcW w:w="2789" w:type="dxa"/>
            <w:tcBorders>
              <w:top w:val="single" w:sz="4" w:space="0" w:color="000000"/>
              <w:left w:val="single" w:sz="4" w:space="0" w:color="000000"/>
              <w:bottom w:val="single" w:sz="4" w:space="0" w:color="000000"/>
              <w:right w:val="single" w:sz="4" w:space="0" w:color="000000"/>
            </w:tcBorders>
            <w:shd w:val="clear" w:color="auto" w:fill="BFBFBF"/>
            <w:tcMar>
              <w:top w:w="58" w:type="dxa"/>
              <w:left w:w="58" w:type="dxa"/>
              <w:bottom w:w="58" w:type="dxa"/>
              <w:right w:w="58" w:type="dxa"/>
            </w:tcMar>
            <w:vAlign w:val="center"/>
          </w:tcPr>
          <w:p w14:paraId="02958BB9" w14:textId="77777777" w:rsidR="007C3F02" w:rsidRPr="003B45EA" w:rsidRDefault="007C3F02" w:rsidP="00D7581C">
            <w:pPr>
              <w:spacing w:after="0" w:line="240" w:lineRule="auto"/>
              <w:rPr>
                <w:rFonts w:asciiTheme="majorHAnsi" w:eastAsia="Times New Roman" w:hAnsiTheme="majorHAnsi" w:cs="Times New Roman"/>
                <w:i/>
                <w:sz w:val="24"/>
                <w:szCs w:val="24"/>
              </w:rPr>
            </w:pPr>
            <w:r w:rsidRPr="003B45EA">
              <w:rPr>
                <w:rFonts w:asciiTheme="majorHAnsi" w:eastAsia="Arial" w:hAnsiTheme="majorHAnsi" w:cs="Arial"/>
                <w:i/>
                <w:color w:val="000000"/>
              </w:rPr>
              <w:t>Case Management Practices</w:t>
            </w:r>
          </w:p>
          <w:p w14:paraId="3E1DD6EE" w14:textId="77777777" w:rsidR="007C3F02" w:rsidRPr="003B45EA" w:rsidRDefault="007C3F02" w:rsidP="00D7581C">
            <w:pPr>
              <w:spacing w:after="0" w:line="240" w:lineRule="auto"/>
              <w:rPr>
                <w:rFonts w:asciiTheme="majorHAnsi" w:eastAsia="Arial" w:hAnsiTheme="majorHAnsi" w:cs="Arial"/>
                <w:i/>
                <w:color w:val="000000"/>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B2E13" w14:textId="77777777" w:rsidR="007C3F02" w:rsidRPr="00582C9A" w:rsidRDefault="007C3F02" w:rsidP="00D7581C">
            <w:pPr>
              <w:spacing w:after="0" w:line="240" w:lineRule="auto"/>
              <w:rPr>
                <w:rFonts w:asciiTheme="majorHAnsi" w:eastAsia="Times New Roman" w:hAnsiTheme="majorHAnsi" w:cs="Times New Roman"/>
                <w:sz w:val="18"/>
                <w:szCs w:val="18"/>
              </w:rPr>
            </w:pPr>
            <w:r w:rsidRPr="00582C9A">
              <w:rPr>
                <w:rFonts w:asciiTheme="majorHAnsi" w:eastAsia="Calibri" w:hAnsiTheme="majorHAnsi" w:cs="Calibri"/>
                <w:color w:val="000000"/>
                <w:sz w:val="18"/>
                <w:szCs w:val="18"/>
                <w:highlight w:val="white"/>
              </w:rPr>
              <w:t>Use case management practices and strategies for students with moderate/severe disabilities and for those referred for special education services.</w:t>
            </w:r>
          </w:p>
          <w:p w14:paraId="22B34F91" w14:textId="77777777" w:rsidR="007C3F02" w:rsidRPr="00582C9A" w:rsidRDefault="007C3F02" w:rsidP="00D7581C">
            <w:pPr>
              <w:spacing w:after="0" w:line="240" w:lineRule="auto"/>
              <w:rPr>
                <w:rFonts w:asciiTheme="majorHAnsi" w:eastAsia="Calibri" w:hAnsiTheme="majorHAnsi" w:cs="Calibri"/>
                <w:color w:val="000000"/>
                <w:sz w:val="18"/>
                <w:szCs w:val="18"/>
                <w:highlight w:val="white"/>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3E26"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Little to no competency</w:t>
            </w:r>
          </w:p>
          <w:p w14:paraId="285D14CB"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732F"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Beginning competency</w:t>
            </w:r>
          </w:p>
          <w:p w14:paraId="379697D5"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BA457"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Average competency</w:t>
            </w:r>
          </w:p>
          <w:p w14:paraId="1BEC6EE8"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770D4" w14:textId="77777777" w:rsidR="007C3F02" w:rsidRPr="00A2006B" w:rsidRDefault="007C3F02" w:rsidP="00D7581C">
            <w:pPr>
              <w:jc w:val="center"/>
              <w:rPr>
                <w:rFonts w:asciiTheme="majorHAnsi" w:eastAsia="Calibri" w:hAnsiTheme="majorHAnsi" w:cs="Calibri"/>
                <w:sz w:val="18"/>
                <w:szCs w:val="18"/>
              </w:rPr>
            </w:pPr>
            <w:r w:rsidRPr="00A2006B">
              <w:rPr>
                <w:rFonts w:asciiTheme="majorHAnsi" w:eastAsia="Calibri" w:hAnsiTheme="majorHAnsi" w:cs="Calibri"/>
                <w:sz w:val="18"/>
                <w:szCs w:val="18"/>
              </w:rPr>
              <w:t>Excellent competency</w:t>
            </w:r>
          </w:p>
          <w:p w14:paraId="136057D9" w14:textId="77777777" w:rsidR="007C3F02" w:rsidRPr="00A2006B" w:rsidRDefault="007C3F02" w:rsidP="00D7581C">
            <w:pPr>
              <w:jc w:val="center"/>
              <w:rPr>
                <w:rFonts w:asciiTheme="majorHAnsi" w:eastAsia="Calibri" w:hAnsiTheme="majorHAnsi" w:cs="Calibri"/>
                <w:sz w:val="18"/>
                <w:szCs w:val="18"/>
              </w:rPr>
            </w:pPr>
            <w:r w:rsidRPr="00A2006B">
              <w:rPr>
                <w:rFonts w:ascii="Segoe UI Symbol" w:eastAsia="Calibri" w:hAnsi="Segoe UI Symbol" w:cs="Segoe UI Symbol"/>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14:paraId="7216E9B5" w14:textId="77777777" w:rsidR="007C3F02" w:rsidRPr="00A2006B" w:rsidRDefault="007C3F02" w:rsidP="00D7581C">
            <w:pPr>
              <w:jc w:val="center"/>
              <w:rPr>
                <w:rFonts w:asciiTheme="majorHAnsi" w:eastAsia="Calibri" w:hAnsiTheme="majorHAnsi" w:cs="Calibri"/>
                <w:sz w:val="18"/>
                <w:szCs w:val="18"/>
              </w:rPr>
            </w:pPr>
          </w:p>
        </w:tc>
      </w:tr>
    </w:tbl>
    <w:p w14:paraId="42F07649" w14:textId="77777777" w:rsidR="007C3F02" w:rsidRDefault="007C3F02" w:rsidP="007C3F02"/>
    <w:p w14:paraId="6DFE9227" w14:textId="77777777" w:rsidR="00356C4D" w:rsidRDefault="00356C4D"/>
    <w:sectPr w:rsidR="00356C4D" w:rsidSect="00291D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02"/>
    <w:rsid w:val="00356C4D"/>
    <w:rsid w:val="007C3F02"/>
    <w:rsid w:val="0096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BF680"/>
  <w15:chartTrackingRefBased/>
  <w15:docId w15:val="{1FA7B7EA-858F-1F4E-883C-7CF5BE73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02"/>
    <w:pPr>
      <w:spacing w:after="200" w:line="252" w:lineRule="auto"/>
    </w:pPr>
    <w:rPr>
      <w:rFonts w:ascii="Cambria" w:eastAsia="Cambria" w:hAnsi="Cambria" w:cs="Cambria"/>
      <w:sz w:val="22"/>
      <w:szCs w:val="22"/>
    </w:rPr>
  </w:style>
  <w:style w:type="paragraph" w:styleId="Heading1">
    <w:name w:val="heading 1"/>
    <w:basedOn w:val="Normal"/>
    <w:next w:val="Normal"/>
    <w:link w:val="Heading1Char"/>
    <w:uiPriority w:val="9"/>
    <w:qFormat/>
    <w:rsid w:val="007C3F02"/>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02"/>
    <w:rPr>
      <w:rFonts w:ascii="Cambria" w:eastAsia="Cambria" w:hAnsi="Cambria" w:cs="Cambria"/>
      <w:caps/>
      <w:color w:val="833C0B" w:themeColor="accent2" w:themeShade="80"/>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2020-08-24T15:19:00Z</dcterms:created>
  <dcterms:modified xsi:type="dcterms:W3CDTF">2020-08-24T15:19:00Z</dcterms:modified>
</cp:coreProperties>
</file>