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E8" w:rsidRDefault="004E4A0C" w:rsidP="00161CE8">
      <w:pPr>
        <w:pStyle w:val="Heading1"/>
        <w:spacing w:before="0" w:after="0" w:line="240" w:lineRule="auto"/>
      </w:pPr>
      <w:bookmarkStart w:id="0" w:name="_GoBack"/>
      <w:bookmarkEnd w:id="0"/>
      <w:r>
        <w:t>Health Science</w:t>
      </w:r>
      <w:r w:rsidR="00A913F5">
        <w:t xml:space="preserve"> Competency</w:t>
      </w:r>
      <w:r w:rsidR="00161CE8">
        <w:t xml:space="preserve"> Assessment</w:t>
      </w:r>
    </w:p>
    <w:p w:rsidR="00161CE8" w:rsidRDefault="00161CE8" w:rsidP="00161CE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61CE8" w:rsidRPr="00C61550" w:rsidRDefault="00161CE8" w:rsidP="00161CE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61CE8" w:rsidRPr="00161CE8" w:rsidRDefault="00161CE8" w:rsidP="00161CE8">
      <w:pPr>
        <w:ind w:left="360"/>
        <w:rPr>
          <w:rFonts w:asciiTheme="minorHAnsi" w:hAnsiTheme="minorHAnsi" w:cstheme="minorHAnsi"/>
          <w:sz w:val="24"/>
          <w:szCs w:val="24"/>
        </w:rPr>
      </w:pPr>
      <w:r w:rsidRPr="00126AAF">
        <w:rPr>
          <w:rFonts w:asciiTheme="minorHAnsi" w:hAnsiTheme="minorHAnsi" w:cstheme="minorHAnsi"/>
          <w:sz w:val="24"/>
          <w:szCs w:val="24"/>
        </w:rPr>
        <w:t>Teacher Candidate: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_______________________________________</w:t>
      </w:r>
      <w:r w:rsidRPr="00161CE8">
        <w:rPr>
          <w:rFonts w:asciiTheme="minorHAnsi" w:hAnsiTheme="minorHAnsi" w:cstheme="minorHAnsi"/>
          <w:sz w:val="24"/>
          <w:szCs w:val="24"/>
        </w:rPr>
        <w:t xml:space="preserve">__    University Supervisor: </w:t>
      </w:r>
      <w:r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161CE8" w:rsidRDefault="00161CE8" w:rsidP="00161CE8">
      <w:pPr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126AAF">
        <w:rPr>
          <w:rFonts w:asciiTheme="minorHAnsi" w:hAnsiTheme="minorHAnsi" w:cstheme="minorHAnsi"/>
          <w:sz w:val="24"/>
          <w:szCs w:val="24"/>
        </w:rPr>
        <w:t>Date: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</w:t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126AAF">
        <w:rPr>
          <w:rFonts w:asciiTheme="minorHAnsi" w:hAnsiTheme="minorHAnsi" w:cstheme="minorHAnsi"/>
          <w:sz w:val="24"/>
          <w:szCs w:val="24"/>
        </w:rPr>
        <w:t xml:space="preserve">    </w:t>
      </w:r>
      <w:r w:rsidRPr="00126A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6AA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C3EAE">
        <w:rPr>
          <w:rFonts w:asciiTheme="minorHAnsi" w:hAnsiTheme="minorHAnsi" w:cstheme="minorHAnsi"/>
          <w:sz w:val="24"/>
          <w:szCs w:val="24"/>
        </w:rPr>
      </w:r>
      <w:r w:rsidR="008C3EAE">
        <w:rPr>
          <w:rFonts w:asciiTheme="minorHAnsi" w:hAnsiTheme="minorHAnsi" w:cstheme="minorHAnsi"/>
          <w:sz w:val="24"/>
          <w:szCs w:val="24"/>
        </w:rPr>
        <w:fldChar w:fldCharType="separate"/>
      </w:r>
      <w:r w:rsidRPr="00126AAF">
        <w:rPr>
          <w:rFonts w:asciiTheme="minorHAnsi" w:hAnsiTheme="minorHAnsi" w:cstheme="minorHAnsi"/>
          <w:sz w:val="24"/>
          <w:szCs w:val="24"/>
        </w:rPr>
        <w:fldChar w:fldCharType="end"/>
      </w:r>
      <w:r w:rsidRPr="00126AAF">
        <w:rPr>
          <w:rFonts w:asciiTheme="minorHAnsi" w:hAnsiTheme="minorHAnsi" w:cstheme="minorHAnsi"/>
          <w:sz w:val="24"/>
          <w:szCs w:val="24"/>
        </w:rPr>
        <w:t xml:space="preserve"> Clinical Practice </w:t>
      </w:r>
      <w:r>
        <w:rPr>
          <w:rFonts w:asciiTheme="minorHAnsi" w:hAnsiTheme="minorHAnsi" w:cstheme="minorHAnsi"/>
          <w:sz w:val="24"/>
          <w:szCs w:val="24"/>
        </w:rPr>
        <w:t xml:space="preserve">Phase </w:t>
      </w:r>
      <w:r w:rsidRPr="00126AAF">
        <w:rPr>
          <w:rFonts w:asciiTheme="minorHAnsi" w:hAnsiTheme="minorHAnsi" w:cstheme="minorHAnsi"/>
          <w:sz w:val="24"/>
          <w:szCs w:val="24"/>
        </w:rPr>
        <w:t xml:space="preserve">I  </w:t>
      </w:r>
      <w:r w:rsidRPr="00126A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26AA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C3EAE">
        <w:rPr>
          <w:rFonts w:asciiTheme="minorHAnsi" w:hAnsiTheme="minorHAnsi" w:cstheme="minorHAnsi"/>
          <w:sz w:val="24"/>
          <w:szCs w:val="24"/>
        </w:rPr>
      </w:r>
      <w:r w:rsidR="008C3EAE">
        <w:rPr>
          <w:rFonts w:asciiTheme="minorHAnsi" w:hAnsiTheme="minorHAnsi" w:cstheme="minorHAnsi"/>
          <w:sz w:val="24"/>
          <w:szCs w:val="24"/>
        </w:rPr>
        <w:fldChar w:fldCharType="separate"/>
      </w:r>
      <w:r w:rsidRPr="00126AAF">
        <w:rPr>
          <w:rFonts w:asciiTheme="minorHAnsi" w:hAnsiTheme="minorHAnsi" w:cstheme="minorHAnsi"/>
          <w:sz w:val="24"/>
          <w:szCs w:val="24"/>
        </w:rPr>
        <w:fldChar w:fldCharType="end"/>
      </w:r>
      <w:r w:rsidRPr="00126AAF">
        <w:rPr>
          <w:rFonts w:asciiTheme="minorHAnsi" w:hAnsiTheme="minorHAnsi" w:cstheme="minorHAnsi"/>
          <w:sz w:val="24"/>
          <w:szCs w:val="24"/>
        </w:rPr>
        <w:t xml:space="preserve"> Clinical Practice </w:t>
      </w:r>
      <w:r>
        <w:rPr>
          <w:rFonts w:asciiTheme="minorHAnsi" w:hAnsiTheme="minorHAnsi" w:cstheme="minorHAnsi"/>
          <w:sz w:val="24"/>
          <w:szCs w:val="24"/>
        </w:rPr>
        <w:t xml:space="preserve">Phase </w:t>
      </w:r>
      <w:r w:rsidRPr="00126AAF">
        <w:rPr>
          <w:rFonts w:asciiTheme="minorHAnsi" w:hAnsiTheme="minorHAnsi" w:cstheme="minorHAnsi"/>
          <w:sz w:val="24"/>
          <w:szCs w:val="24"/>
        </w:rPr>
        <w:t>II</w:t>
      </w:r>
      <w:bookmarkStart w:id="1" w:name="_BUSINESS_EDUCATION_COMPETENCY"/>
      <w:bookmarkEnd w:id="1"/>
    </w:p>
    <w:p w:rsidR="00161CE8" w:rsidRPr="00161CE8" w:rsidRDefault="00161CE8" w:rsidP="00161CE8">
      <w:pPr>
        <w:spacing w:after="240"/>
        <w:ind w:left="360"/>
        <w:rPr>
          <w:rFonts w:asciiTheme="minorHAnsi" w:hAnsiTheme="minorHAnsi" w:cstheme="minorHAnsi"/>
          <w:sz w:val="2"/>
          <w:szCs w:val="2"/>
        </w:rPr>
      </w:pP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5313"/>
        <w:gridCol w:w="1715"/>
        <w:gridCol w:w="1715"/>
        <w:gridCol w:w="1715"/>
        <w:gridCol w:w="1715"/>
      </w:tblGrid>
      <w:tr w:rsidR="00AA25E7" w:rsidRPr="00126AAF" w:rsidTr="00EC4144">
        <w:trPr>
          <w:cantSplit/>
          <w:trHeight w:val="115"/>
          <w:tblHeader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1CE8" w:rsidRPr="00126AAF" w:rsidRDefault="00161CE8" w:rsidP="00520AA0">
            <w:pPr>
              <w:spacing w:after="0" w:line="240" w:lineRule="auto"/>
              <w:ind w:left="412" w:hanging="360"/>
              <w:contextualSpacing/>
              <w:jc w:val="center"/>
              <w:rPr>
                <w:rStyle w:val="SubtleEmphasis"/>
              </w:rPr>
            </w:pPr>
            <w:r w:rsidRPr="00126AAF">
              <w:rPr>
                <w:rStyle w:val="SubtleEmphasis"/>
              </w:rPr>
              <w:t>Elements</w:t>
            </w:r>
          </w:p>
        </w:tc>
        <w:tc>
          <w:tcPr>
            <w:tcW w:w="5313" w:type="dxa"/>
            <w:shd w:val="clear" w:color="auto" w:fill="BFBFBF" w:themeFill="background1" w:themeFillShade="BF"/>
            <w:vAlign w:val="center"/>
          </w:tcPr>
          <w:p w:rsidR="00161CE8" w:rsidRPr="00126AAF" w:rsidRDefault="00161CE8" w:rsidP="00161CE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126AAF">
              <w:rPr>
                <w:rStyle w:val="SubtleEmphasis"/>
              </w:rPr>
              <w:t>Candidate Proficiency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center"/>
          </w:tcPr>
          <w:p w:rsidR="00161CE8" w:rsidRPr="00126AAF" w:rsidRDefault="00161CE8" w:rsidP="00161CE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126AAF">
              <w:rPr>
                <w:rStyle w:val="SubtleEmphasis"/>
              </w:rPr>
              <w:t>I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center"/>
          </w:tcPr>
          <w:p w:rsidR="00161CE8" w:rsidRPr="00126AAF" w:rsidRDefault="00161CE8" w:rsidP="00161CE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126AAF">
              <w:rPr>
                <w:rStyle w:val="SubtleEmphasis"/>
              </w:rPr>
              <w:t>II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center"/>
          </w:tcPr>
          <w:p w:rsidR="00161CE8" w:rsidRPr="00126AAF" w:rsidRDefault="00161CE8" w:rsidP="00161CE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126AAF">
              <w:rPr>
                <w:rStyle w:val="SubtleEmphasis"/>
              </w:rPr>
              <w:t>III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center"/>
          </w:tcPr>
          <w:p w:rsidR="00161CE8" w:rsidRPr="00126AAF" w:rsidRDefault="00161CE8" w:rsidP="00161CE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126AAF">
              <w:rPr>
                <w:rStyle w:val="SubtleEmphasis"/>
              </w:rPr>
              <w:t>IV</w:t>
            </w:r>
          </w:p>
        </w:tc>
      </w:tr>
      <w:tr w:rsidR="00E77A81" w:rsidRPr="00126AAF" w:rsidTr="00935E0A">
        <w:trPr>
          <w:cantSplit/>
          <w:trHeight w:val="1760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D20B8D" w:rsidRDefault="00E77A81" w:rsidP="000C0A73">
            <w:pPr>
              <w:numPr>
                <w:ilvl w:val="0"/>
                <w:numId w:val="1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36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Standards</w:t>
            </w:r>
          </w:p>
        </w:tc>
        <w:tc>
          <w:tcPr>
            <w:tcW w:w="5313" w:type="dxa"/>
            <w:vAlign w:val="center"/>
          </w:tcPr>
          <w:p w:rsidR="00E77A81" w:rsidRPr="00E77A81" w:rsidRDefault="00E77A81" w:rsidP="00E7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</w:p>
          <w:p w:rsidR="00E77A81" w:rsidRPr="00E77A81" w:rsidRDefault="00E77A81" w:rsidP="00E7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Designs and implements instruction that assures all students meet or exceed state-adopted standards for</w:t>
            </w:r>
            <w:r>
              <w:rPr>
                <w:rFonts w:asciiTheme="minorHAnsi" w:eastAsiaTheme="minorHAnsi" w:hAnsiTheme="minorHAnsi" w:cs="Times New Roman"/>
                <w:sz w:val="21"/>
                <w:szCs w:val="21"/>
              </w:rPr>
              <w:t xml:space="preserve"> </w:t>
            </w: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health education and applicable English Language Development Standards, while promoting academic language.</w:t>
            </w:r>
          </w:p>
        </w:tc>
        <w:tc>
          <w:tcPr>
            <w:tcW w:w="1715" w:type="dxa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126AAF" w:rsidTr="00935E0A">
        <w:trPr>
          <w:cantSplit/>
          <w:trHeight w:val="1760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D20B8D" w:rsidRDefault="00E77A81" w:rsidP="000C0A73">
            <w:pPr>
              <w:numPr>
                <w:ilvl w:val="0"/>
                <w:numId w:val="1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360"/>
              <w:contextualSpacing/>
              <w:rPr>
                <w:rStyle w:val="SubtleEmphasis"/>
              </w:rPr>
            </w:pPr>
            <w:r w:rsidRPr="00D20B8D">
              <w:rPr>
                <w:i/>
                <w:iCs/>
              </w:rPr>
              <w:t>Coordinated School Health Program</w:t>
            </w:r>
          </w:p>
        </w:tc>
        <w:tc>
          <w:tcPr>
            <w:tcW w:w="5313" w:type="dxa"/>
            <w:vAlign w:val="center"/>
          </w:tcPr>
          <w:p w:rsidR="00E77A81" w:rsidRDefault="00E77A81" w:rsidP="00E7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</w:p>
          <w:p w:rsidR="00E77A81" w:rsidRPr="00E77A81" w:rsidRDefault="00E77A81" w:rsidP="00E7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Understands the professional, legal, scientific, behavioral, and philosophical principles of</w:t>
            </w:r>
            <w:r>
              <w:rPr>
                <w:rFonts w:asciiTheme="minorHAnsi" w:eastAsiaTheme="minorHAnsi" w:hAnsiTheme="minorHAnsi" w:cs="Times New Roman"/>
                <w:sz w:val="21"/>
                <w:szCs w:val="21"/>
              </w:rPr>
              <w:t xml:space="preserve"> </w:t>
            </w: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health education and the role of the school health educators within a coordinated school health</w:t>
            </w:r>
          </w:p>
          <w:p w:rsidR="00E77A81" w:rsidRPr="00E77A81" w:rsidRDefault="00E77A81" w:rsidP="00E77A8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(CSH) program.</w:t>
            </w:r>
          </w:p>
        </w:tc>
        <w:tc>
          <w:tcPr>
            <w:tcW w:w="1715" w:type="dxa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126AAF" w:rsidTr="00935E0A">
        <w:trPr>
          <w:cantSplit/>
          <w:trHeight w:val="1760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A913F5" w:rsidRDefault="00E77A81" w:rsidP="000C0A73">
            <w:pPr>
              <w:numPr>
                <w:ilvl w:val="0"/>
                <w:numId w:val="1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360"/>
              <w:contextualSpacing/>
              <w:rPr>
                <w:rStyle w:val="SubtleEmphasis"/>
              </w:rPr>
            </w:pPr>
            <w:r>
              <w:rPr>
                <w:i/>
                <w:iCs/>
              </w:rPr>
              <w:t>Critical Thinking</w:t>
            </w:r>
          </w:p>
        </w:tc>
        <w:tc>
          <w:tcPr>
            <w:tcW w:w="5313" w:type="dxa"/>
            <w:shd w:val="clear" w:color="auto" w:fill="FFFFFF" w:themeFill="background1"/>
            <w:vAlign w:val="center"/>
          </w:tcPr>
          <w:p w:rsidR="00E77A81" w:rsidRPr="00E77A81" w:rsidRDefault="00E77A81" w:rsidP="00E7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Teaches problem-solving and critical-thinking skills that develop confidence in the decision-making process and promote healthy behaviors.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126AAF" w:rsidTr="00935E0A">
        <w:trPr>
          <w:cantSplit/>
          <w:trHeight w:val="1760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126AAF" w:rsidRDefault="00E77A81" w:rsidP="000C0A73">
            <w:pPr>
              <w:numPr>
                <w:ilvl w:val="0"/>
                <w:numId w:val="1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360"/>
              <w:contextualSpacing/>
              <w:rPr>
                <w:rStyle w:val="SubtleEmphasis"/>
              </w:rPr>
            </w:pPr>
            <w:r>
              <w:rPr>
                <w:i/>
                <w:iCs/>
              </w:rPr>
              <w:t>Individual &amp; Cultural Differentiation</w:t>
            </w:r>
          </w:p>
        </w:tc>
        <w:tc>
          <w:tcPr>
            <w:tcW w:w="5313" w:type="dxa"/>
            <w:shd w:val="clear" w:color="auto" w:fill="FFFFFF" w:themeFill="background1"/>
            <w:vAlign w:val="center"/>
          </w:tcPr>
          <w:p w:rsidR="00E77A81" w:rsidRPr="00E77A81" w:rsidRDefault="00E77A81" w:rsidP="00EC414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E77A81">
              <w:rPr>
                <w:rFonts w:asciiTheme="minorHAnsi" w:hAnsiTheme="minorHAnsi" w:cstheme="minorHAnsi"/>
                <w:sz w:val="21"/>
                <w:szCs w:val="21"/>
              </w:rPr>
              <w:t>Recognizes differences in individual development, culture, and family life.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126AAF" w:rsidTr="00935E0A">
        <w:trPr>
          <w:cantSplit/>
          <w:trHeight w:val="1760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Default="00E77A81" w:rsidP="000C0A73">
            <w:pPr>
              <w:numPr>
                <w:ilvl w:val="0"/>
                <w:numId w:val="1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36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Community Specific Education</w:t>
            </w:r>
          </w:p>
        </w:tc>
        <w:tc>
          <w:tcPr>
            <w:tcW w:w="5313" w:type="dxa"/>
            <w:shd w:val="clear" w:color="auto" w:fill="FFFFFF" w:themeFill="background1"/>
            <w:vAlign w:val="center"/>
          </w:tcPr>
          <w:p w:rsidR="00E77A81" w:rsidRPr="00E77A81" w:rsidRDefault="00E77A81" w:rsidP="00B86D6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E77A81">
              <w:rPr>
                <w:rFonts w:asciiTheme="minorHAnsi" w:hAnsiTheme="minorHAnsi" w:cstheme="minorHAnsi"/>
                <w:sz w:val="21"/>
                <w:szCs w:val="21"/>
              </w:rPr>
              <w:t>Assesses individual and community needs for health education by interpreting health-related data about social and cultural environments.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126AAF" w:rsidTr="00935E0A">
        <w:trPr>
          <w:cantSplit/>
          <w:trHeight w:val="194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A913F5" w:rsidRDefault="00E77A81" w:rsidP="000C0A73">
            <w:pPr>
              <w:numPr>
                <w:ilvl w:val="0"/>
                <w:numId w:val="1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360"/>
              <w:contextualSpacing/>
              <w:rPr>
                <w:rStyle w:val="SubtleEmphasis"/>
              </w:rPr>
            </w:pPr>
            <w:r>
              <w:rPr>
                <w:i/>
                <w:iCs/>
              </w:rPr>
              <w:t>Research</w:t>
            </w:r>
          </w:p>
        </w:tc>
        <w:tc>
          <w:tcPr>
            <w:tcW w:w="5313" w:type="dxa"/>
            <w:shd w:val="clear" w:color="auto" w:fill="FFFFFF" w:themeFill="background1"/>
            <w:vAlign w:val="center"/>
          </w:tcPr>
          <w:p w:rsidR="00E77A81" w:rsidRPr="00E77A81" w:rsidRDefault="00E77A81" w:rsidP="00161CE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E77A81">
              <w:rPr>
                <w:rFonts w:asciiTheme="minorHAnsi" w:hAnsiTheme="minorHAnsi" w:cstheme="minorHAnsi"/>
                <w:sz w:val="21"/>
                <w:szCs w:val="21"/>
              </w:rPr>
              <w:t>Understands the differences between health education practices that are grounded in scientific research and those that are not research- based.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126AAF" w:rsidTr="00935E0A">
        <w:trPr>
          <w:cantSplit/>
          <w:trHeight w:val="194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126AAF" w:rsidRDefault="00E77A81" w:rsidP="00B86D60">
            <w:pPr>
              <w:pStyle w:val="ListParagraph"/>
              <w:numPr>
                <w:ilvl w:val="0"/>
                <w:numId w:val="1"/>
              </w:numPr>
              <w:tabs>
                <w:tab w:val="clear" w:pos="288"/>
                <w:tab w:val="num" w:pos="412"/>
              </w:tabs>
              <w:autoSpaceDE w:val="0"/>
              <w:autoSpaceDN w:val="0"/>
              <w:adjustRightInd w:val="0"/>
              <w:spacing w:after="0" w:line="240" w:lineRule="auto"/>
              <w:ind w:left="412" w:hanging="360"/>
              <w:rPr>
                <w:rStyle w:val="SubtleEmphasis"/>
              </w:rPr>
            </w:pPr>
            <w:r w:rsidRPr="00126AAF">
              <w:rPr>
                <w:rStyle w:val="SubtleEmphasis"/>
              </w:rPr>
              <w:t xml:space="preserve"> </w:t>
            </w:r>
            <w:r>
              <w:rPr>
                <w:i/>
                <w:iCs/>
              </w:rPr>
              <w:t>Collaboration</w:t>
            </w:r>
          </w:p>
        </w:tc>
        <w:tc>
          <w:tcPr>
            <w:tcW w:w="5313" w:type="dxa"/>
            <w:shd w:val="clear" w:color="auto" w:fill="FFFFFF" w:themeFill="background1"/>
            <w:vAlign w:val="center"/>
          </w:tcPr>
          <w:p w:rsidR="00E77A81" w:rsidRPr="00E77A81" w:rsidRDefault="00E77A81" w:rsidP="00161CE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E77A81">
              <w:rPr>
                <w:rFonts w:asciiTheme="minorHAnsi" w:hAnsiTheme="minorHAnsi" w:cstheme="minorHAnsi"/>
                <w:sz w:val="21"/>
                <w:szCs w:val="21"/>
              </w:rPr>
              <w:t>Identifies opportunities for collaboration among health educators in all settings, including school and community health professions.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126AAF" w:rsidTr="00935E0A">
        <w:trPr>
          <w:cantSplit/>
          <w:trHeight w:val="194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126AAF" w:rsidRDefault="00E77A81" w:rsidP="00935E0A">
            <w:pPr>
              <w:numPr>
                <w:ilvl w:val="0"/>
                <w:numId w:val="1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360"/>
              <w:contextualSpacing/>
              <w:rPr>
                <w:rStyle w:val="SubtleEmphasis"/>
              </w:rPr>
            </w:pPr>
            <w:r>
              <w:rPr>
                <w:i/>
                <w:iCs/>
              </w:rPr>
              <w:t>Analytical Skills</w:t>
            </w:r>
          </w:p>
        </w:tc>
        <w:tc>
          <w:tcPr>
            <w:tcW w:w="5313" w:type="dxa"/>
            <w:shd w:val="clear" w:color="auto" w:fill="FFFFFF" w:themeFill="background1"/>
            <w:vAlign w:val="center"/>
          </w:tcPr>
          <w:p w:rsidR="00E77A81" w:rsidRPr="00E77A81" w:rsidRDefault="00E77A81" w:rsidP="00EC414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E77A81">
              <w:rPr>
                <w:rFonts w:asciiTheme="minorHAnsi" w:hAnsiTheme="minorHAnsi" w:cstheme="minorHAnsi"/>
                <w:sz w:val="21"/>
                <w:szCs w:val="21"/>
              </w:rPr>
              <w:t>Teaches students to use analytical skills to identify behaviors that enhance and/or compromise personal health and well-being.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126AAF" w:rsidTr="00935E0A">
        <w:trPr>
          <w:cantSplit/>
          <w:trHeight w:val="194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126AAF" w:rsidRDefault="00E77A81" w:rsidP="000C0A73">
            <w:pPr>
              <w:numPr>
                <w:ilvl w:val="0"/>
                <w:numId w:val="1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360"/>
              <w:contextualSpacing/>
              <w:rPr>
                <w:rStyle w:val="SubtleEmphasis"/>
              </w:rPr>
            </w:pPr>
            <w:r>
              <w:rPr>
                <w:i/>
                <w:iCs/>
              </w:rPr>
              <w:t>Lifestyle Choices</w:t>
            </w:r>
          </w:p>
        </w:tc>
        <w:tc>
          <w:tcPr>
            <w:tcW w:w="5313" w:type="dxa"/>
            <w:shd w:val="clear" w:color="auto" w:fill="FFFFFF" w:themeFill="background1"/>
            <w:vAlign w:val="center"/>
          </w:tcPr>
          <w:p w:rsidR="00E77A81" w:rsidRPr="00E77A81" w:rsidRDefault="00E77A81" w:rsidP="00161CE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E77A81">
              <w:rPr>
                <w:rFonts w:asciiTheme="minorHAnsi" w:hAnsiTheme="minorHAnsi" w:cstheme="minorHAnsi"/>
                <w:sz w:val="21"/>
                <w:szCs w:val="21"/>
              </w:rPr>
              <w:t>Teaches students to recognize the short term and long-term effects of the lifestyle choices and habits of individuals; integrates higher-level thinking skills within the context of various health topics.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126AAF" w:rsidTr="00935E0A">
        <w:trPr>
          <w:cantSplit/>
          <w:trHeight w:val="194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126AAF" w:rsidRDefault="00E77A81" w:rsidP="00520AA0">
            <w:pPr>
              <w:numPr>
                <w:ilvl w:val="0"/>
                <w:numId w:val="1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360"/>
              <w:contextualSpacing/>
              <w:rPr>
                <w:rStyle w:val="SubtleEmphasis"/>
              </w:rPr>
            </w:pPr>
            <w:r>
              <w:rPr>
                <w:i/>
                <w:iCs/>
              </w:rPr>
              <w:lastRenderedPageBreak/>
              <w:t>Risk Assessment &amp; Prevention</w:t>
            </w:r>
          </w:p>
        </w:tc>
        <w:tc>
          <w:tcPr>
            <w:tcW w:w="5313" w:type="dxa"/>
            <w:shd w:val="clear" w:color="auto" w:fill="FFFFFF" w:themeFill="background1"/>
            <w:vAlign w:val="center"/>
          </w:tcPr>
          <w:p w:rsidR="00E77A81" w:rsidRPr="00E77A81" w:rsidRDefault="00E77A81" w:rsidP="00161CE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E77A81">
              <w:rPr>
                <w:rFonts w:asciiTheme="minorHAnsi" w:hAnsiTheme="minorHAnsi" w:cstheme="minorHAnsi"/>
                <w:sz w:val="21"/>
                <w:szCs w:val="21"/>
              </w:rPr>
              <w:t>Teaches students to apply a variety of risk assessment skills and prevention strategies to health-related issues.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8F0542" w:rsidTr="00935E0A">
        <w:trPr>
          <w:cantSplit/>
          <w:trHeight w:val="1822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520AA0" w:rsidRDefault="00E77A81" w:rsidP="00520AA0">
            <w:pPr>
              <w:pStyle w:val="ListParagraph"/>
              <w:numPr>
                <w:ilvl w:val="0"/>
                <w:numId w:val="1"/>
              </w:numPr>
              <w:tabs>
                <w:tab w:val="clear" w:pos="288"/>
                <w:tab w:val="num" w:pos="592"/>
              </w:tabs>
              <w:spacing w:after="0" w:line="240" w:lineRule="auto"/>
              <w:ind w:left="412" w:hanging="360"/>
              <w:rPr>
                <w:i/>
                <w:iCs/>
              </w:rPr>
            </w:pPr>
            <w:r>
              <w:rPr>
                <w:i/>
                <w:iCs/>
              </w:rPr>
              <w:t>Advocacy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Pr="00E77A81" w:rsidRDefault="00E77A81" w:rsidP="00520AA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E77A81">
              <w:rPr>
                <w:rFonts w:asciiTheme="minorHAnsi" w:hAnsiTheme="minorHAnsi" w:cstheme="minorHAnsi"/>
                <w:sz w:val="21"/>
                <w:szCs w:val="21"/>
              </w:rPr>
              <w:t>Demonstrates effective communication and advocacy skills as they relate to personal, family, and community health and health education needs in order to effectively motivate California’s diverse youth to adopt a healthy lifestyle.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8F0542" w:rsidTr="00935E0A">
        <w:trPr>
          <w:cantSplit/>
          <w:trHeight w:val="1822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Pr="00520AA0" w:rsidRDefault="00E77A81" w:rsidP="00520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2" w:hanging="360"/>
              <w:rPr>
                <w:i/>
                <w:iCs/>
              </w:rPr>
            </w:pPr>
            <w:r>
              <w:rPr>
                <w:i/>
                <w:iCs/>
              </w:rPr>
              <w:t>Communication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Pr="00E77A81" w:rsidRDefault="00E77A81" w:rsidP="0004500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E77A81">
              <w:rPr>
                <w:rFonts w:asciiTheme="minorHAnsi" w:hAnsiTheme="minorHAnsi" w:cstheme="minorHAnsi"/>
                <w:sz w:val="21"/>
                <w:szCs w:val="21"/>
              </w:rPr>
              <w:t>Understands the role of communication and communication skills in interpersonal relationships and identifies strategies that encourage appropriate expression.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2748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8F0542" w:rsidTr="00935E0A">
        <w:trPr>
          <w:cantSplit/>
          <w:trHeight w:val="1822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Default="00E77A81" w:rsidP="00520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2" w:hanging="360"/>
              <w:rPr>
                <w:i/>
                <w:iCs/>
              </w:rPr>
            </w:pPr>
            <w:r>
              <w:rPr>
                <w:i/>
                <w:iCs/>
              </w:rPr>
              <w:t>Reading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Pr="00E77A81" w:rsidRDefault="00E77A81" w:rsidP="00E7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Teaches students to independently read, comprehend, and evaluate instructional materials that include increasingly complex subject-relevant</w:t>
            </w:r>
            <w:r>
              <w:rPr>
                <w:rFonts w:asciiTheme="minorHAnsi" w:eastAsiaTheme="minorHAnsi" w:hAnsiTheme="minorHAnsi" w:cs="Times New Roman"/>
                <w:sz w:val="21"/>
                <w:szCs w:val="21"/>
              </w:rPr>
              <w:t xml:space="preserve"> </w:t>
            </w: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texts and graphic/media representations presented in diverse formats.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8F0542" w:rsidTr="00935E0A">
        <w:trPr>
          <w:cantSplit/>
          <w:trHeight w:val="1822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Default="00E77A81" w:rsidP="00520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2" w:hanging="360"/>
              <w:rPr>
                <w:i/>
                <w:iCs/>
              </w:rPr>
            </w:pPr>
            <w:r>
              <w:rPr>
                <w:i/>
                <w:iCs/>
              </w:rPr>
              <w:t>Writing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Pr="00E77A81" w:rsidRDefault="00E77A81" w:rsidP="0004500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cs="Times New Roman"/>
                <w:sz w:val="21"/>
                <w:szCs w:val="21"/>
              </w:rPr>
              <w:t xml:space="preserve">Teaches </w:t>
            </w: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students to write argumentative and expository text in the content area.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8F0542" w:rsidTr="00935E0A">
        <w:trPr>
          <w:cantSplit/>
          <w:trHeight w:val="1822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Default="00E77A81" w:rsidP="00520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2" w:hanging="36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Speaking Skills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Pr="00E77A81" w:rsidRDefault="00E77A81" w:rsidP="00E7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Teaches speaking and listening skills including collaboration, conversation, and presentation of knowledge and ideas that contribute to the learning of the content of health education.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77A81" w:rsidRPr="008F0542" w:rsidTr="00935E0A">
        <w:trPr>
          <w:cantSplit/>
          <w:trHeight w:val="1822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7A81" w:rsidRDefault="00E77A81" w:rsidP="00520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2" w:hanging="360"/>
              <w:rPr>
                <w:i/>
                <w:iCs/>
              </w:rPr>
            </w:pPr>
            <w:r>
              <w:rPr>
                <w:i/>
                <w:iCs/>
              </w:rPr>
              <w:t>Technology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Pr="00E77A81" w:rsidRDefault="00E77A81" w:rsidP="00E7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E77A81">
              <w:rPr>
                <w:rFonts w:asciiTheme="minorHAnsi" w:eastAsiaTheme="minorHAnsi" w:hAnsiTheme="minorHAnsi" w:cs="Times New Roman"/>
                <w:sz w:val="21"/>
                <w:szCs w:val="21"/>
              </w:rPr>
              <w:t>Provides students the opportunity to use and evaluate strengths and limitations of media and technology as integral tools in the classroom.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81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E77A81" w:rsidRPr="00A913F5" w:rsidRDefault="00E77A81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</w:r>
            <w:r w:rsidR="008C3EAE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A25E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:rsidR="001D1E77" w:rsidRDefault="001D1E77"/>
    <w:sectPr w:rsidR="001D1E77" w:rsidSect="00161CE8"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4110"/>
    <w:multiLevelType w:val="hybridMultilevel"/>
    <w:tmpl w:val="DD8A8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E0863"/>
    <w:multiLevelType w:val="hybridMultilevel"/>
    <w:tmpl w:val="DCB83F16"/>
    <w:lvl w:ilvl="0" w:tplc="8DEE7DB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E8"/>
    <w:rsid w:val="00045000"/>
    <w:rsid w:val="000C0A73"/>
    <w:rsid w:val="00161CE8"/>
    <w:rsid w:val="001D1E77"/>
    <w:rsid w:val="0032227E"/>
    <w:rsid w:val="004E4A0C"/>
    <w:rsid w:val="00520AA0"/>
    <w:rsid w:val="008C3EAE"/>
    <w:rsid w:val="00935E0A"/>
    <w:rsid w:val="00A913F5"/>
    <w:rsid w:val="00AA25E7"/>
    <w:rsid w:val="00B8246A"/>
    <w:rsid w:val="00B86D60"/>
    <w:rsid w:val="00D20B8D"/>
    <w:rsid w:val="00D7046E"/>
    <w:rsid w:val="00D82DAD"/>
    <w:rsid w:val="00E77A81"/>
    <w:rsid w:val="00E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8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E8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E8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61C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1CE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161CE8"/>
    <w:pPr>
      <w:ind w:left="720"/>
      <w:contextualSpacing/>
    </w:pPr>
  </w:style>
  <w:style w:type="character" w:styleId="SubtleEmphasis">
    <w:name w:val="Subtle Emphasis"/>
    <w:uiPriority w:val="19"/>
    <w:qFormat/>
    <w:rsid w:val="00161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8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E8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E8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61C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1CE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161CE8"/>
    <w:pPr>
      <w:ind w:left="720"/>
      <w:contextualSpacing/>
    </w:pPr>
  </w:style>
  <w:style w:type="character" w:styleId="SubtleEmphasis">
    <w:name w:val="Subtle Emphasis"/>
    <w:uiPriority w:val="19"/>
    <w:qFormat/>
    <w:rsid w:val="00161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9CB084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Heather Bertrand</cp:lastModifiedBy>
  <cp:revision>2</cp:revision>
  <dcterms:created xsi:type="dcterms:W3CDTF">2017-08-14T16:34:00Z</dcterms:created>
  <dcterms:modified xsi:type="dcterms:W3CDTF">2017-08-14T16:34:00Z</dcterms:modified>
</cp:coreProperties>
</file>