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8" w:rsidRDefault="00161CE8" w:rsidP="00BF0EB3">
      <w:pPr>
        <w:pStyle w:val="Heading1"/>
        <w:spacing w:before="0" w:after="0" w:line="240" w:lineRule="auto"/>
      </w:pPr>
      <w:bookmarkStart w:id="0" w:name="_GoBack"/>
      <w:bookmarkEnd w:id="0"/>
      <w:r>
        <w:t xml:space="preserve">Business </w:t>
      </w:r>
      <w:r w:rsidR="00E461A3">
        <w:t xml:space="preserve">Education </w:t>
      </w:r>
      <w:r w:rsidR="00BF0EB3">
        <w:t>Competency</w:t>
      </w:r>
      <w:r w:rsidR="00E461A3">
        <w:t xml:space="preserve"> </w:t>
      </w:r>
      <w:r>
        <w:t>Assessment</w:t>
      </w:r>
    </w:p>
    <w:p w:rsidR="00161CE8" w:rsidRDefault="00161CE8" w:rsidP="00161CE8">
      <w:pPr>
        <w:spacing w:after="0" w:line="240" w:lineRule="auto"/>
        <w:rPr>
          <w:rFonts w:asciiTheme="minorHAnsi" w:hAnsiTheme="minorHAnsi" w:cstheme="minorHAnsi"/>
          <w:sz w:val="16"/>
          <w:szCs w:val="16"/>
        </w:rPr>
      </w:pPr>
    </w:p>
    <w:p w:rsidR="00161CE8" w:rsidRPr="00C61550" w:rsidRDefault="00161CE8" w:rsidP="00161CE8">
      <w:pPr>
        <w:spacing w:after="0" w:line="240" w:lineRule="auto"/>
        <w:rPr>
          <w:rFonts w:asciiTheme="minorHAnsi" w:hAnsiTheme="minorHAnsi" w:cstheme="minorHAnsi"/>
          <w:sz w:val="16"/>
          <w:szCs w:val="16"/>
        </w:rPr>
      </w:pPr>
    </w:p>
    <w:p w:rsidR="00161CE8" w:rsidRPr="00161CE8" w:rsidRDefault="00161CE8" w:rsidP="00161CE8">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rsidR="00161CE8" w:rsidRDefault="00161CE8" w:rsidP="00161CE8">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sidR="00575134">
        <w:rPr>
          <w:rFonts w:asciiTheme="minorHAnsi" w:hAnsiTheme="minorHAnsi" w:cstheme="minorHAnsi"/>
          <w:sz w:val="24"/>
          <w:szCs w:val="24"/>
        </w:rPr>
      </w:r>
      <w:r w:rsidR="00575134">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sidR="00575134">
        <w:rPr>
          <w:rFonts w:asciiTheme="minorHAnsi" w:hAnsiTheme="minorHAnsi" w:cstheme="minorHAnsi"/>
          <w:sz w:val="24"/>
          <w:szCs w:val="24"/>
        </w:rPr>
      </w:r>
      <w:r w:rsidR="00575134">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bookmarkStart w:id="1" w:name="_BUSINESS_EDUCATION_COMPETENCY"/>
      <w:bookmarkEnd w:id="1"/>
    </w:p>
    <w:p w:rsidR="00161CE8" w:rsidRPr="00161CE8" w:rsidRDefault="00161CE8" w:rsidP="00161CE8">
      <w:pPr>
        <w:spacing w:after="240"/>
        <w:ind w:left="360"/>
        <w:rPr>
          <w:rFonts w:asciiTheme="minorHAnsi" w:hAnsiTheme="minorHAnsi" w:cstheme="minorHAnsi"/>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5853"/>
        <w:gridCol w:w="1684"/>
        <w:gridCol w:w="1687"/>
        <w:gridCol w:w="1687"/>
        <w:gridCol w:w="1687"/>
      </w:tblGrid>
      <w:tr w:rsidR="004B26DD" w:rsidRPr="00126AAF" w:rsidTr="004B26DD">
        <w:trPr>
          <w:cantSplit/>
          <w:trHeight w:val="115"/>
          <w:tblHeader/>
          <w:jc w:val="center"/>
        </w:trPr>
        <w:tc>
          <w:tcPr>
            <w:tcW w:w="676" w:type="pct"/>
            <w:shd w:val="clear" w:color="auto" w:fill="BFBFBF" w:themeFill="background1" w:themeFillShade="BF"/>
            <w:tcMar>
              <w:top w:w="58" w:type="dxa"/>
              <w:left w:w="58" w:type="dxa"/>
              <w:bottom w:w="58" w:type="dxa"/>
              <w:right w:w="58" w:type="dxa"/>
            </w:tcMar>
            <w:vAlign w:val="center"/>
          </w:tcPr>
          <w:p w:rsidR="00161CE8" w:rsidRPr="00126AAF" w:rsidRDefault="00161CE8" w:rsidP="00161CE8">
            <w:pPr>
              <w:spacing w:after="0" w:line="240" w:lineRule="auto"/>
              <w:contextualSpacing/>
              <w:jc w:val="center"/>
              <w:rPr>
                <w:rStyle w:val="SubtleEmphasis"/>
              </w:rPr>
            </w:pPr>
            <w:r w:rsidRPr="00126AAF">
              <w:rPr>
                <w:rStyle w:val="SubtleEmphasis"/>
              </w:rPr>
              <w:t>Elements</w:t>
            </w:r>
          </w:p>
        </w:tc>
        <w:tc>
          <w:tcPr>
            <w:tcW w:w="2009" w:type="pct"/>
            <w:shd w:val="clear" w:color="auto" w:fill="BFBFBF" w:themeFill="background1" w:themeFillShade="BF"/>
            <w:vAlign w:val="center"/>
          </w:tcPr>
          <w:p w:rsidR="00161CE8" w:rsidRPr="00126AAF" w:rsidRDefault="00161CE8" w:rsidP="00161CE8">
            <w:pPr>
              <w:spacing w:after="0" w:line="240" w:lineRule="auto"/>
              <w:contextualSpacing/>
              <w:jc w:val="center"/>
              <w:rPr>
                <w:rStyle w:val="SubtleEmphasis"/>
              </w:rPr>
            </w:pPr>
            <w:r w:rsidRPr="00126AAF">
              <w:rPr>
                <w:rStyle w:val="SubtleEmphasis"/>
              </w:rPr>
              <w:t>Candidate Proficiency</w:t>
            </w:r>
          </w:p>
        </w:tc>
        <w:tc>
          <w:tcPr>
            <w:tcW w:w="578" w:type="pct"/>
            <w:shd w:val="clear" w:color="auto" w:fill="BFBFBF" w:themeFill="background1" w:themeFillShade="BF"/>
            <w:vAlign w:val="center"/>
          </w:tcPr>
          <w:p w:rsidR="00161CE8" w:rsidRPr="00126AAF" w:rsidRDefault="00161CE8" w:rsidP="004B26DD">
            <w:pPr>
              <w:spacing w:after="0" w:line="240" w:lineRule="auto"/>
              <w:contextualSpacing/>
              <w:jc w:val="center"/>
              <w:rPr>
                <w:rStyle w:val="SubtleEmphasis"/>
              </w:rPr>
            </w:pPr>
            <w:r w:rsidRPr="00126AAF">
              <w:rPr>
                <w:rStyle w:val="SubtleEmphasis"/>
              </w:rPr>
              <w:t>I</w:t>
            </w:r>
          </w:p>
        </w:tc>
        <w:tc>
          <w:tcPr>
            <w:tcW w:w="579" w:type="pct"/>
            <w:shd w:val="clear" w:color="auto" w:fill="BFBFBF" w:themeFill="background1" w:themeFillShade="BF"/>
            <w:vAlign w:val="center"/>
          </w:tcPr>
          <w:p w:rsidR="00161CE8" w:rsidRPr="00126AAF" w:rsidRDefault="00161CE8" w:rsidP="004B26DD">
            <w:pPr>
              <w:spacing w:after="0" w:line="240" w:lineRule="auto"/>
              <w:contextualSpacing/>
              <w:jc w:val="center"/>
              <w:rPr>
                <w:rStyle w:val="SubtleEmphasis"/>
              </w:rPr>
            </w:pPr>
            <w:r w:rsidRPr="00126AAF">
              <w:rPr>
                <w:rStyle w:val="SubtleEmphasis"/>
              </w:rPr>
              <w:t>II</w:t>
            </w:r>
          </w:p>
        </w:tc>
        <w:tc>
          <w:tcPr>
            <w:tcW w:w="579" w:type="pct"/>
            <w:shd w:val="clear" w:color="auto" w:fill="BFBFBF" w:themeFill="background1" w:themeFillShade="BF"/>
            <w:vAlign w:val="center"/>
          </w:tcPr>
          <w:p w:rsidR="00161CE8" w:rsidRPr="00126AAF" w:rsidRDefault="00161CE8" w:rsidP="004B26DD">
            <w:pPr>
              <w:spacing w:after="0" w:line="240" w:lineRule="auto"/>
              <w:contextualSpacing/>
              <w:jc w:val="center"/>
              <w:rPr>
                <w:rStyle w:val="SubtleEmphasis"/>
              </w:rPr>
            </w:pPr>
            <w:r w:rsidRPr="00126AAF">
              <w:rPr>
                <w:rStyle w:val="SubtleEmphasis"/>
              </w:rPr>
              <w:t>III</w:t>
            </w:r>
          </w:p>
        </w:tc>
        <w:tc>
          <w:tcPr>
            <w:tcW w:w="579" w:type="pct"/>
            <w:shd w:val="clear" w:color="auto" w:fill="BFBFBF" w:themeFill="background1" w:themeFillShade="BF"/>
            <w:vAlign w:val="center"/>
          </w:tcPr>
          <w:p w:rsidR="00161CE8" w:rsidRPr="00126AAF" w:rsidRDefault="00161CE8" w:rsidP="004B26DD">
            <w:pPr>
              <w:spacing w:after="0" w:line="240" w:lineRule="auto"/>
              <w:contextualSpacing/>
              <w:jc w:val="center"/>
              <w:rPr>
                <w:rStyle w:val="SubtleEmphasis"/>
              </w:rPr>
            </w:pPr>
            <w:r w:rsidRPr="00126AAF">
              <w:rPr>
                <w:rStyle w:val="SubtleEmphasis"/>
              </w:rPr>
              <w:t>IV</w:t>
            </w:r>
          </w:p>
        </w:tc>
      </w:tr>
      <w:tr w:rsidR="00E45680" w:rsidRPr="00126AAF" w:rsidTr="004B26DD">
        <w:trPr>
          <w:cantSplit/>
          <w:trHeight w:val="1836"/>
          <w:jc w:val="center"/>
        </w:trPr>
        <w:tc>
          <w:tcPr>
            <w:tcW w:w="676" w:type="pct"/>
            <w:shd w:val="clear" w:color="auto" w:fill="BFBFBF" w:themeFill="background1" w:themeFillShade="BF"/>
            <w:tcMar>
              <w:top w:w="58" w:type="dxa"/>
              <w:left w:w="58" w:type="dxa"/>
              <w:bottom w:w="58" w:type="dxa"/>
              <w:right w:w="58" w:type="dxa"/>
            </w:tcMar>
            <w:vAlign w:val="center"/>
          </w:tcPr>
          <w:p w:rsidR="00E45680" w:rsidRDefault="00E45680" w:rsidP="00161CE8">
            <w:pPr>
              <w:numPr>
                <w:ilvl w:val="0"/>
                <w:numId w:val="1"/>
              </w:numPr>
              <w:spacing w:after="0" w:line="240" w:lineRule="auto"/>
              <w:contextualSpacing/>
              <w:rPr>
                <w:rStyle w:val="SubtleEmphasis"/>
              </w:rPr>
            </w:pPr>
            <w:r>
              <w:rPr>
                <w:rStyle w:val="SubtleEmphasis"/>
              </w:rPr>
              <w:t>Standards</w:t>
            </w:r>
          </w:p>
        </w:tc>
        <w:tc>
          <w:tcPr>
            <w:tcW w:w="2009" w:type="pct"/>
            <w:vAlign w:val="center"/>
          </w:tcPr>
          <w:p w:rsidR="00E45680" w:rsidRPr="00E45680" w:rsidRDefault="00E45680" w:rsidP="00E45680">
            <w:pPr>
              <w:widowControl w:val="0"/>
              <w:autoSpaceDE w:val="0"/>
              <w:autoSpaceDN w:val="0"/>
              <w:adjustRightInd w:val="0"/>
              <w:spacing w:after="0" w:line="240" w:lineRule="auto"/>
              <w:rPr>
                <w:rFonts w:asciiTheme="minorHAnsi" w:eastAsiaTheme="minorHAnsi" w:hAnsiTheme="minorHAnsi" w:cs="Times New Roman"/>
                <w:sz w:val="21"/>
                <w:szCs w:val="21"/>
              </w:rPr>
            </w:pPr>
            <w:r w:rsidRPr="00E45680">
              <w:rPr>
                <w:rFonts w:asciiTheme="minorHAnsi" w:eastAsiaTheme="minorHAnsi" w:hAnsiTheme="minorHAnsi" w:cs="Times New Roman"/>
                <w:sz w:val="21"/>
                <w:szCs w:val="21"/>
              </w:rPr>
              <w:t>Teaches the state-adopted career technical education (CTE) model curriculum standards in business and applicable English Language Development Standards, while providing academic access to students at all level of language proficiency.</w:t>
            </w:r>
          </w:p>
        </w:tc>
        <w:tc>
          <w:tcPr>
            <w:tcW w:w="578" w:type="pct"/>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836"/>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161CE8">
            <w:pPr>
              <w:numPr>
                <w:ilvl w:val="0"/>
                <w:numId w:val="1"/>
              </w:numPr>
              <w:spacing w:after="0" w:line="240" w:lineRule="auto"/>
              <w:contextualSpacing/>
              <w:rPr>
                <w:rStyle w:val="SubtleEmphasis"/>
              </w:rPr>
            </w:pPr>
            <w:r>
              <w:rPr>
                <w:rStyle w:val="SubtleEmphasis"/>
              </w:rPr>
              <w:t>Management</w:t>
            </w:r>
          </w:p>
        </w:tc>
        <w:tc>
          <w:tcPr>
            <w:tcW w:w="2009" w:type="pct"/>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Prepares students to carry out business management functions with an understanding of organizational theory and development, leadership, and motivational concepts.</w:t>
            </w:r>
          </w:p>
        </w:tc>
        <w:tc>
          <w:tcPr>
            <w:tcW w:w="578" w:type="pct"/>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836"/>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161CE8">
            <w:pPr>
              <w:numPr>
                <w:ilvl w:val="0"/>
                <w:numId w:val="1"/>
              </w:numPr>
              <w:spacing w:after="0" w:line="240" w:lineRule="auto"/>
              <w:contextualSpacing/>
              <w:rPr>
                <w:rStyle w:val="SubtleEmphasis"/>
              </w:rPr>
            </w:pPr>
            <w:r>
              <w:rPr>
                <w:rStyle w:val="SubtleEmphasis"/>
              </w:rPr>
              <w:t>Problem Solving</w:t>
            </w:r>
          </w:p>
        </w:tc>
        <w:tc>
          <w:tcPr>
            <w:tcW w:w="2009" w:type="pct"/>
            <w:shd w:val="clear" w:color="auto" w:fill="FFFFFF" w:themeFill="background1"/>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Enables students to solve real-world business problems that include methods of decision making applied to legal and ethical principles, the application of mathematical operations leading to quantitative and qualitative analysis, and the understanding and application of accounting concepts, principles, procedures, and financial analysis.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836"/>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161CE8">
            <w:pPr>
              <w:numPr>
                <w:ilvl w:val="0"/>
                <w:numId w:val="1"/>
              </w:numPr>
              <w:spacing w:after="0" w:line="240" w:lineRule="auto"/>
              <w:contextualSpacing/>
              <w:rPr>
                <w:rStyle w:val="SubtleEmphasis"/>
              </w:rPr>
            </w:pPr>
            <w:r>
              <w:rPr>
                <w:rStyle w:val="SubtleEmphasis"/>
              </w:rPr>
              <w:t>Marketing</w:t>
            </w:r>
          </w:p>
        </w:tc>
        <w:tc>
          <w:tcPr>
            <w:tcW w:w="2009" w:type="pct"/>
            <w:shd w:val="clear" w:color="auto" w:fill="FFFFFF" w:themeFill="background1"/>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Prepares students to apply key marketing principles and concepts including but not limited to customer service, selling, promotion, and distribution in both domestic and international markets.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836"/>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161CE8">
            <w:pPr>
              <w:numPr>
                <w:ilvl w:val="0"/>
                <w:numId w:val="1"/>
              </w:numPr>
              <w:spacing w:after="0" w:line="240" w:lineRule="auto"/>
              <w:contextualSpacing/>
              <w:rPr>
                <w:rStyle w:val="SubtleEmphasis"/>
              </w:rPr>
            </w:pPr>
            <w:r>
              <w:rPr>
                <w:rStyle w:val="SubtleEmphasis"/>
              </w:rPr>
              <w:lastRenderedPageBreak/>
              <w:t>Technology for Business</w:t>
            </w:r>
          </w:p>
        </w:tc>
        <w:tc>
          <w:tcPr>
            <w:tcW w:w="2009" w:type="pct"/>
            <w:shd w:val="clear" w:color="auto" w:fill="FFFFFF" w:themeFill="background1"/>
            <w:vAlign w:val="center"/>
          </w:tcPr>
          <w:p w:rsidR="00E45680" w:rsidRPr="00E45680" w:rsidRDefault="00E45680" w:rsidP="00D83C21">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Teaches students to apply principles and procedures related to applications, networking systems, and basic concepts of programming and systems development and the ethical use of information technology in business situations.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5937DB">
            <w:pPr>
              <w:pStyle w:val="ListParagraph"/>
              <w:numPr>
                <w:ilvl w:val="0"/>
                <w:numId w:val="1"/>
              </w:numPr>
              <w:autoSpaceDE w:val="0"/>
              <w:autoSpaceDN w:val="0"/>
              <w:adjustRightInd w:val="0"/>
              <w:spacing w:after="0" w:line="240" w:lineRule="auto"/>
              <w:rPr>
                <w:rStyle w:val="SubtleEmphasis"/>
              </w:rPr>
            </w:pPr>
            <w:r w:rsidRPr="00126AAF">
              <w:rPr>
                <w:rStyle w:val="SubtleEmphasis"/>
              </w:rPr>
              <w:t xml:space="preserve"> </w:t>
            </w:r>
            <w:r>
              <w:rPr>
                <w:rStyle w:val="SubtleEmphasis"/>
              </w:rPr>
              <w:t>Economic Principles</w:t>
            </w:r>
            <w:r w:rsidRPr="00126AAF">
              <w:rPr>
                <w:rStyle w:val="SubtleEmphasis"/>
              </w:rPr>
              <w:t xml:space="preserve"> </w:t>
            </w:r>
          </w:p>
        </w:tc>
        <w:tc>
          <w:tcPr>
            <w:tcW w:w="2009" w:type="pct"/>
            <w:shd w:val="clear" w:color="auto" w:fill="FFFFFF" w:themeFill="background1"/>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Instructs students in basic economic principles applicable to microeconomic theories, macroeconomic theories, and domestic and international economies.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2874F9">
            <w:pPr>
              <w:numPr>
                <w:ilvl w:val="0"/>
                <w:numId w:val="1"/>
              </w:numPr>
              <w:spacing w:after="0" w:line="240" w:lineRule="auto"/>
              <w:contextualSpacing/>
              <w:rPr>
                <w:rStyle w:val="SubtleEmphasis"/>
              </w:rPr>
            </w:pPr>
            <w:r>
              <w:rPr>
                <w:rStyle w:val="SubtleEmphasis"/>
              </w:rPr>
              <w:t>Career Development</w:t>
            </w:r>
          </w:p>
        </w:tc>
        <w:tc>
          <w:tcPr>
            <w:tcW w:w="2009" w:type="pct"/>
            <w:shd w:val="clear" w:color="auto" w:fill="FFFFFF" w:themeFill="background1"/>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Assists students in a variety of procedures to address individual career development and provide ample opportunities for students to develop their own employment and entrepreneurial skills.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5937DB">
            <w:pPr>
              <w:numPr>
                <w:ilvl w:val="0"/>
                <w:numId w:val="1"/>
              </w:numPr>
              <w:spacing w:after="0" w:line="240" w:lineRule="auto"/>
              <w:contextualSpacing/>
              <w:rPr>
                <w:rStyle w:val="SubtleEmphasis"/>
              </w:rPr>
            </w:pPr>
            <w:r>
              <w:rPr>
                <w:rStyle w:val="SubtleEmphasis"/>
              </w:rPr>
              <w:t>Communication</w:t>
            </w:r>
          </w:p>
        </w:tc>
        <w:tc>
          <w:tcPr>
            <w:tcW w:w="2009" w:type="pct"/>
            <w:shd w:val="clear" w:color="auto" w:fill="FFFFFF" w:themeFill="background1"/>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Assists students in the application of technology, reading, writing, mathematics, speaking, and active listening skills in a variety of business situations.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Default="00E45680" w:rsidP="005937DB">
            <w:pPr>
              <w:numPr>
                <w:ilvl w:val="0"/>
                <w:numId w:val="1"/>
              </w:numPr>
              <w:spacing w:after="0" w:line="240" w:lineRule="auto"/>
              <w:contextualSpacing/>
              <w:rPr>
                <w:rStyle w:val="SubtleEmphasis"/>
              </w:rPr>
            </w:pPr>
            <w:r>
              <w:rPr>
                <w:rStyle w:val="SubtleEmphasis"/>
              </w:rPr>
              <w:t>Reading</w:t>
            </w:r>
          </w:p>
        </w:tc>
        <w:tc>
          <w:tcPr>
            <w:tcW w:w="2009" w:type="pct"/>
            <w:shd w:val="clear" w:color="auto" w:fill="FFFFFF" w:themeFill="background1"/>
            <w:vAlign w:val="center"/>
          </w:tcPr>
          <w:p w:rsidR="00E45680" w:rsidRPr="00E45680" w:rsidRDefault="00E45680" w:rsidP="00E45680">
            <w:pPr>
              <w:widowControl w:val="0"/>
              <w:autoSpaceDE w:val="0"/>
              <w:autoSpaceDN w:val="0"/>
              <w:adjustRightInd w:val="0"/>
              <w:spacing w:after="0" w:line="240" w:lineRule="auto"/>
              <w:rPr>
                <w:rFonts w:asciiTheme="minorHAnsi" w:eastAsiaTheme="minorHAnsi" w:hAnsiTheme="minorHAnsi" w:cs="Times New Roman"/>
                <w:sz w:val="21"/>
                <w:szCs w:val="21"/>
              </w:rPr>
            </w:pPr>
          </w:p>
          <w:p w:rsidR="00E45680" w:rsidRPr="00E45680" w:rsidRDefault="00E45680" w:rsidP="00E45680">
            <w:pPr>
              <w:widowControl w:val="0"/>
              <w:autoSpaceDE w:val="0"/>
              <w:autoSpaceDN w:val="0"/>
              <w:adjustRightInd w:val="0"/>
              <w:spacing w:after="0" w:line="240" w:lineRule="auto"/>
              <w:rPr>
                <w:rFonts w:asciiTheme="minorHAnsi" w:eastAsiaTheme="minorHAnsi" w:hAnsiTheme="minorHAnsi" w:cs="Times New Roman"/>
                <w:sz w:val="21"/>
                <w:szCs w:val="21"/>
              </w:rPr>
            </w:pPr>
            <w:r w:rsidRPr="00E45680">
              <w:rPr>
                <w:rFonts w:asciiTheme="minorHAnsi" w:eastAsiaTheme="minorHAnsi" w:hAnsiTheme="minorHAnsi" w:cs="Times New Roman"/>
                <w:sz w:val="21"/>
                <w:szCs w:val="21"/>
              </w:rPr>
              <w:t>Teaches students to independently read, comprehend, and evaluate instructional materials that include increasingly complex subject-relevant texts and graphic/media representations presented in diverse formats.</w:t>
            </w:r>
          </w:p>
        </w:tc>
        <w:tc>
          <w:tcPr>
            <w:tcW w:w="578"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Default="00E45680" w:rsidP="00E45680">
            <w:pPr>
              <w:spacing w:after="0" w:line="240" w:lineRule="auto"/>
              <w:contextualSpacing/>
              <w:rPr>
                <w:rStyle w:val="SubtleEmphasis"/>
              </w:rPr>
            </w:pPr>
            <w:r>
              <w:rPr>
                <w:rStyle w:val="SubtleEmphasis"/>
              </w:rPr>
              <w:lastRenderedPageBreak/>
              <w:t>10. Writing</w:t>
            </w:r>
          </w:p>
        </w:tc>
        <w:tc>
          <w:tcPr>
            <w:tcW w:w="2009" w:type="pct"/>
            <w:shd w:val="clear" w:color="auto" w:fill="FFFFFF" w:themeFill="background1"/>
            <w:vAlign w:val="center"/>
          </w:tcPr>
          <w:p w:rsidR="00E45680" w:rsidRPr="00E45680" w:rsidRDefault="00E45680" w:rsidP="00E45680">
            <w:pPr>
              <w:widowControl w:val="0"/>
              <w:autoSpaceDE w:val="0"/>
              <w:autoSpaceDN w:val="0"/>
              <w:adjustRightInd w:val="0"/>
              <w:spacing w:after="0" w:line="240" w:lineRule="auto"/>
              <w:rPr>
                <w:rFonts w:asciiTheme="minorHAnsi" w:eastAsiaTheme="minorHAnsi" w:hAnsiTheme="minorHAnsi" w:cs="Times New Roman"/>
                <w:sz w:val="21"/>
                <w:szCs w:val="21"/>
              </w:rPr>
            </w:pPr>
            <w:r w:rsidRPr="00E45680">
              <w:rPr>
                <w:rFonts w:asciiTheme="minorHAnsi" w:eastAsiaTheme="minorHAnsi" w:hAnsiTheme="minorHAnsi" w:cs="Times New Roman"/>
                <w:sz w:val="21"/>
                <w:szCs w:val="21"/>
              </w:rPr>
              <w:t>Teaches students to write argumentative and expository text in the content area.</w:t>
            </w:r>
          </w:p>
        </w:tc>
        <w:tc>
          <w:tcPr>
            <w:tcW w:w="578"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Default="00E45680" w:rsidP="00E45680">
            <w:pPr>
              <w:spacing w:after="0" w:line="240" w:lineRule="auto"/>
              <w:contextualSpacing/>
              <w:rPr>
                <w:rStyle w:val="SubtleEmphasis"/>
              </w:rPr>
            </w:pPr>
            <w:r>
              <w:rPr>
                <w:rStyle w:val="SubtleEmphasis"/>
              </w:rPr>
              <w:t xml:space="preserve">11. Technology in </w:t>
            </w:r>
          </w:p>
          <w:p w:rsidR="00E45680" w:rsidRDefault="00E45680" w:rsidP="00E45680">
            <w:pPr>
              <w:spacing w:after="0" w:line="240" w:lineRule="auto"/>
              <w:contextualSpacing/>
              <w:rPr>
                <w:rStyle w:val="SubtleEmphasis"/>
              </w:rPr>
            </w:pPr>
            <w:r>
              <w:rPr>
                <w:rStyle w:val="SubtleEmphasis"/>
              </w:rPr>
              <w:t xml:space="preserve">      the Classroom</w:t>
            </w:r>
          </w:p>
        </w:tc>
        <w:tc>
          <w:tcPr>
            <w:tcW w:w="2009" w:type="pct"/>
            <w:shd w:val="clear" w:color="auto" w:fill="FFFFFF" w:themeFill="background1"/>
            <w:vAlign w:val="center"/>
          </w:tcPr>
          <w:p w:rsidR="00E45680" w:rsidRPr="00E45680" w:rsidRDefault="00E45680" w:rsidP="00E45680">
            <w:pPr>
              <w:widowControl w:val="0"/>
              <w:autoSpaceDE w:val="0"/>
              <w:autoSpaceDN w:val="0"/>
              <w:adjustRightInd w:val="0"/>
              <w:spacing w:after="0" w:line="240" w:lineRule="auto"/>
              <w:rPr>
                <w:rFonts w:asciiTheme="minorHAnsi" w:eastAsiaTheme="minorHAnsi" w:hAnsiTheme="minorHAnsi" w:cs="Times New Roman"/>
                <w:sz w:val="21"/>
                <w:szCs w:val="21"/>
              </w:rPr>
            </w:pPr>
            <w:r w:rsidRPr="00E45680">
              <w:rPr>
                <w:rFonts w:asciiTheme="minorHAnsi" w:eastAsiaTheme="minorHAnsi" w:hAnsiTheme="minorHAnsi" w:cs="Times New Roman"/>
                <w:sz w:val="21"/>
                <w:szCs w:val="21"/>
              </w:rPr>
              <w:t>Provides students the opportunity to use and evaluate strengths and limitations of media and technology as integral tools in the classroom.</w:t>
            </w:r>
          </w:p>
        </w:tc>
        <w:tc>
          <w:tcPr>
            <w:tcW w:w="578"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B628CF">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B628CF">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r w:rsidR="00E45680" w:rsidRPr="00126AAF" w:rsidTr="004B26DD">
        <w:trPr>
          <w:cantSplit/>
          <w:trHeight w:val="1627"/>
          <w:jc w:val="center"/>
        </w:trPr>
        <w:tc>
          <w:tcPr>
            <w:tcW w:w="676" w:type="pct"/>
            <w:shd w:val="clear" w:color="auto" w:fill="BFBFBF" w:themeFill="background1" w:themeFillShade="BF"/>
            <w:tcMar>
              <w:top w:w="58" w:type="dxa"/>
              <w:left w:w="58" w:type="dxa"/>
              <w:bottom w:w="58" w:type="dxa"/>
              <w:right w:w="58" w:type="dxa"/>
            </w:tcMar>
            <w:vAlign w:val="center"/>
          </w:tcPr>
          <w:p w:rsidR="00E45680" w:rsidRPr="00126AAF" w:rsidRDefault="00E45680" w:rsidP="00E45680">
            <w:pPr>
              <w:spacing w:after="0" w:line="240" w:lineRule="auto"/>
              <w:contextualSpacing/>
              <w:rPr>
                <w:rStyle w:val="SubtleEmphasis"/>
              </w:rPr>
            </w:pPr>
            <w:r>
              <w:rPr>
                <w:rStyle w:val="SubtleEmphasis"/>
              </w:rPr>
              <w:t>12. Assessment</w:t>
            </w:r>
          </w:p>
        </w:tc>
        <w:tc>
          <w:tcPr>
            <w:tcW w:w="2009" w:type="pct"/>
            <w:shd w:val="clear" w:color="auto" w:fill="FFFFFF" w:themeFill="background1"/>
            <w:vAlign w:val="center"/>
          </w:tcPr>
          <w:p w:rsidR="00E45680" w:rsidRPr="00E45680" w:rsidRDefault="00E45680" w:rsidP="00161CE8">
            <w:pPr>
              <w:spacing w:after="0" w:line="240" w:lineRule="auto"/>
              <w:contextualSpacing/>
              <w:rPr>
                <w:rFonts w:asciiTheme="minorHAnsi" w:hAnsiTheme="minorHAnsi" w:cstheme="minorHAnsi"/>
                <w:sz w:val="21"/>
                <w:szCs w:val="21"/>
              </w:rPr>
            </w:pPr>
            <w:r w:rsidRPr="00E45680">
              <w:rPr>
                <w:rFonts w:asciiTheme="minorHAnsi" w:hAnsiTheme="minorHAnsi" w:cstheme="minorHAnsi"/>
                <w:sz w:val="21"/>
                <w:szCs w:val="21"/>
              </w:rPr>
              <w:t>Uses a variety of authentic, performance-based assessment strategies to assess students’ skills and abilities</w:t>
            </w:r>
          </w:p>
        </w:tc>
        <w:tc>
          <w:tcPr>
            <w:tcW w:w="578"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Average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c>
          <w:tcPr>
            <w:tcW w:w="579" w:type="pct"/>
            <w:shd w:val="clear" w:color="auto" w:fill="FFFFFF" w:themeFill="background1"/>
            <w:vAlign w:val="center"/>
          </w:tcPr>
          <w:p w:rsidR="00E45680" w:rsidRDefault="00E45680" w:rsidP="00294225">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E45680" w:rsidRPr="00A913F5" w:rsidRDefault="00E45680" w:rsidP="00294225">
            <w:pPr>
              <w:jc w:val="center"/>
              <w:rPr>
                <w:rFonts w:asciiTheme="minorHAnsi" w:hAnsiTheme="minorHAnsi" w:cstheme="minorHAnsi"/>
                <w:sz w:val="21"/>
                <w:szCs w:val="21"/>
              </w:rPr>
            </w:pPr>
            <w:r w:rsidRPr="00AA25E7">
              <w:rPr>
                <w:rFonts w:asciiTheme="minorHAnsi" w:hAnsiTheme="minorHAnsi" w:cstheme="minorHAnsi"/>
                <w:sz w:val="21"/>
                <w:szCs w:val="21"/>
              </w:rPr>
              <w:fldChar w:fldCharType="begin">
                <w:ffData>
                  <w:name w:val="Check41"/>
                  <w:enabled/>
                  <w:calcOnExit w:val="0"/>
                  <w:checkBox>
                    <w:sizeAuto/>
                    <w:default w:val="0"/>
                    <w:checked w:val="0"/>
                  </w:checkBox>
                </w:ffData>
              </w:fldChar>
            </w:r>
            <w:r w:rsidRPr="00AA25E7">
              <w:rPr>
                <w:rFonts w:asciiTheme="minorHAnsi" w:hAnsiTheme="minorHAnsi" w:cstheme="minorHAnsi"/>
                <w:sz w:val="21"/>
                <w:szCs w:val="21"/>
              </w:rPr>
              <w:instrText xml:space="preserve"> FORMCHECKBOX </w:instrText>
            </w:r>
            <w:r w:rsidR="00575134">
              <w:rPr>
                <w:rFonts w:asciiTheme="minorHAnsi" w:hAnsiTheme="minorHAnsi" w:cstheme="minorHAnsi"/>
                <w:sz w:val="21"/>
                <w:szCs w:val="21"/>
              </w:rPr>
            </w:r>
            <w:r w:rsidR="00575134">
              <w:rPr>
                <w:rFonts w:asciiTheme="minorHAnsi" w:hAnsiTheme="minorHAnsi" w:cstheme="minorHAnsi"/>
                <w:sz w:val="21"/>
                <w:szCs w:val="21"/>
              </w:rPr>
              <w:fldChar w:fldCharType="separate"/>
            </w:r>
            <w:r w:rsidRPr="00AA25E7">
              <w:rPr>
                <w:rFonts w:asciiTheme="minorHAnsi" w:hAnsiTheme="minorHAnsi" w:cstheme="minorHAnsi"/>
                <w:sz w:val="21"/>
                <w:szCs w:val="21"/>
              </w:rPr>
              <w:fldChar w:fldCharType="end"/>
            </w:r>
          </w:p>
        </w:tc>
      </w:tr>
    </w:tbl>
    <w:p w:rsidR="001D1E77" w:rsidRDefault="001D1E77"/>
    <w:sectPr w:rsidR="001D1E77" w:rsidSect="00161CE8">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863"/>
    <w:multiLevelType w:val="hybridMultilevel"/>
    <w:tmpl w:val="5554EA78"/>
    <w:lvl w:ilvl="0" w:tplc="8DEE7DB4">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8"/>
    <w:rsid w:val="00161CE8"/>
    <w:rsid w:val="001D1E77"/>
    <w:rsid w:val="002874F9"/>
    <w:rsid w:val="00380013"/>
    <w:rsid w:val="004B26DD"/>
    <w:rsid w:val="00575134"/>
    <w:rsid w:val="005937DB"/>
    <w:rsid w:val="005D27E4"/>
    <w:rsid w:val="007D28A0"/>
    <w:rsid w:val="00AA25E7"/>
    <w:rsid w:val="00B75F2D"/>
    <w:rsid w:val="00BF0EB3"/>
    <w:rsid w:val="00D83C21"/>
    <w:rsid w:val="00E45680"/>
    <w:rsid w:val="00E4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34"/>
    <w:qFormat/>
    <w:rsid w:val="00161CE8"/>
    <w:pPr>
      <w:ind w:left="720"/>
      <w:contextualSpacing/>
    </w:pPr>
  </w:style>
  <w:style w:type="character" w:styleId="SubtleEmphasis">
    <w:name w:val="Subtle Emphasis"/>
    <w:uiPriority w:val="19"/>
    <w:qFormat/>
    <w:rsid w:val="00161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34"/>
    <w:qFormat/>
    <w:rsid w:val="00161CE8"/>
    <w:pPr>
      <w:ind w:left="720"/>
      <w:contextualSpacing/>
    </w:pPr>
  </w:style>
  <w:style w:type="character" w:styleId="SubtleEmphasis">
    <w:name w:val="Subtle Emphasis"/>
    <w:uiPriority w:val="19"/>
    <w:qFormat/>
    <w:rsid w:val="00161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9CB08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cp:lastModifiedBy>Heather Bertrand</cp:lastModifiedBy>
  <cp:revision>2</cp:revision>
  <dcterms:created xsi:type="dcterms:W3CDTF">2017-08-14T16:35:00Z</dcterms:created>
  <dcterms:modified xsi:type="dcterms:W3CDTF">2017-08-14T16:35:00Z</dcterms:modified>
</cp:coreProperties>
</file>